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2C" w:rsidRDefault="003700F9">
      <w:pPr>
        <w:spacing w:after="14" w:line="249" w:lineRule="auto"/>
        <w:ind w:left="45" w:right="0" w:firstLine="0"/>
      </w:pPr>
      <w:r>
        <w:rPr>
          <w:b/>
          <w:color w:val="006FC0"/>
          <w:sz w:val="24"/>
        </w:rPr>
        <w:t xml:space="preserve">DIRETRIZES DA FUNDAÇÃO ARAUCÁRIA PARA A </w:t>
      </w:r>
      <w:r w:rsidR="00623F00">
        <w:rPr>
          <w:b/>
          <w:color w:val="006FC0"/>
          <w:sz w:val="24"/>
        </w:rPr>
        <w:t xml:space="preserve">CHAMADA </w:t>
      </w:r>
      <w:r w:rsidR="00623F00" w:rsidRPr="00623F00">
        <w:rPr>
          <w:b/>
          <w:color w:val="006FC0"/>
          <w:sz w:val="24"/>
        </w:rPr>
        <w:t>CONFAP–</w:t>
      </w:r>
      <w:proofErr w:type="spellStart"/>
      <w:r w:rsidR="00DF534D">
        <w:rPr>
          <w:b/>
          <w:color w:val="006FC0"/>
          <w:sz w:val="24"/>
        </w:rPr>
        <w:t>NexBio</w:t>
      </w:r>
      <w:proofErr w:type="spellEnd"/>
      <w:r w:rsidR="00DF534D">
        <w:rPr>
          <w:b/>
          <w:color w:val="006FC0"/>
          <w:sz w:val="24"/>
        </w:rPr>
        <w:t xml:space="preserve"> AMAZÔNIA</w:t>
      </w:r>
      <w:r w:rsidR="00623F00" w:rsidRPr="00623F00">
        <w:rPr>
          <w:b/>
          <w:color w:val="006FC0"/>
          <w:sz w:val="24"/>
        </w:rPr>
        <w:t xml:space="preserve"> 2026</w:t>
      </w:r>
      <w:r w:rsidR="00623F00">
        <w:rPr>
          <w:b/>
          <w:color w:val="006FC0"/>
          <w:sz w:val="24"/>
        </w:rPr>
        <w:t>.</w:t>
      </w:r>
    </w:p>
    <w:p w:rsidR="00623F00" w:rsidRDefault="00623F00">
      <w:pPr>
        <w:spacing w:after="0" w:line="240" w:lineRule="auto"/>
        <w:ind w:left="125" w:right="93" w:hanging="20"/>
        <w:jc w:val="both"/>
        <w:rPr>
          <w:b/>
          <w:color w:val="006FC0"/>
          <w:sz w:val="24"/>
        </w:rPr>
      </w:pPr>
    </w:p>
    <w:p w:rsidR="00B035E5" w:rsidRPr="00B035E5" w:rsidRDefault="00B035E5">
      <w:pPr>
        <w:spacing w:after="0" w:line="240" w:lineRule="auto"/>
        <w:ind w:left="125" w:right="93" w:hanging="20"/>
        <w:jc w:val="both"/>
        <w:rPr>
          <w:b/>
          <w:color w:val="202020"/>
        </w:rPr>
      </w:pPr>
      <w:r w:rsidRPr="00B035E5">
        <w:rPr>
          <w:b/>
          <w:color w:val="202020"/>
        </w:rPr>
        <w:t xml:space="preserve">A Fundação Araucária de Apoio ao Desenvolvimento Científico e Tecnológico do Paraná participa da </w:t>
      </w:r>
      <w:r w:rsidR="00AE62B0">
        <w:rPr>
          <w:b/>
          <w:color w:val="202020"/>
        </w:rPr>
        <w:t>3ª</w:t>
      </w:r>
      <w:r w:rsidRPr="00B035E5">
        <w:rPr>
          <w:b/>
          <w:color w:val="202020"/>
        </w:rPr>
        <w:t xml:space="preserve">Chamada no âmbito do Programa de Mobilidade </w:t>
      </w:r>
      <w:proofErr w:type="spellStart"/>
      <w:r w:rsidR="00AE62B0">
        <w:rPr>
          <w:b/>
          <w:color w:val="202020"/>
        </w:rPr>
        <w:t>NexBio</w:t>
      </w:r>
      <w:proofErr w:type="spellEnd"/>
      <w:r w:rsidR="00AE62B0">
        <w:rPr>
          <w:b/>
          <w:color w:val="202020"/>
        </w:rPr>
        <w:t xml:space="preserve"> Amazônia</w:t>
      </w:r>
      <w:r w:rsidRPr="00B035E5">
        <w:rPr>
          <w:b/>
          <w:color w:val="202020"/>
        </w:rPr>
        <w:t>, estabelecido pelo Acordo de Cooperação entre o Conselho Nacional das Fundações Estaduais d</w:t>
      </w:r>
      <w:r w:rsidR="00FB730B">
        <w:rPr>
          <w:b/>
          <w:color w:val="202020"/>
        </w:rPr>
        <w:t>e Amparo à Pesquisa (CONFAP) e</w:t>
      </w:r>
      <w:r w:rsidRPr="00B035E5">
        <w:rPr>
          <w:b/>
          <w:color w:val="202020"/>
        </w:rPr>
        <w:t xml:space="preserve"> </w:t>
      </w:r>
      <w:r w:rsidR="00FB730B" w:rsidRPr="00FB730B">
        <w:rPr>
          <w:b/>
          <w:color w:val="202020"/>
        </w:rPr>
        <w:t>em parceria com a </w:t>
      </w:r>
      <w:proofErr w:type="spellStart"/>
      <w:r w:rsidR="00FB730B" w:rsidRPr="00FB730B">
        <w:rPr>
          <w:b/>
          <w:color w:val="202020"/>
        </w:rPr>
        <w:fldChar w:fldCharType="begin"/>
      </w:r>
      <w:r w:rsidR="00FB730B" w:rsidRPr="00FB730B">
        <w:rPr>
          <w:b/>
          <w:color w:val="202020"/>
        </w:rPr>
        <w:instrText xml:space="preserve"> HYPERLINK "https://swissnex.org/brazil" \t "_blank" </w:instrText>
      </w:r>
      <w:r w:rsidR="00FB730B" w:rsidRPr="00FB730B">
        <w:rPr>
          <w:b/>
          <w:color w:val="202020"/>
        </w:rPr>
        <w:fldChar w:fldCharType="separate"/>
      </w:r>
      <w:r w:rsidR="00FB730B" w:rsidRPr="00FB730B">
        <w:rPr>
          <w:b/>
          <w:color w:val="202020"/>
        </w:rPr>
        <w:t>Swissnex</w:t>
      </w:r>
      <w:proofErr w:type="spellEnd"/>
      <w:r w:rsidR="00FB730B" w:rsidRPr="00FB730B">
        <w:rPr>
          <w:b/>
          <w:color w:val="202020"/>
        </w:rPr>
        <w:t xml:space="preserve"> no Brasil</w:t>
      </w:r>
      <w:r w:rsidR="00FB730B" w:rsidRPr="00FB730B">
        <w:rPr>
          <w:b/>
          <w:color w:val="202020"/>
        </w:rPr>
        <w:fldChar w:fldCharType="end"/>
      </w:r>
      <w:r w:rsidR="00FB730B" w:rsidRPr="00FB730B">
        <w:rPr>
          <w:b/>
          <w:color w:val="202020"/>
        </w:rPr>
        <w:t>, e a </w:t>
      </w:r>
      <w:proofErr w:type="spellStart"/>
      <w:r w:rsidR="00FB730B" w:rsidRPr="00FB730B">
        <w:rPr>
          <w:b/>
          <w:color w:val="202020"/>
        </w:rPr>
        <w:t>Leading</w:t>
      </w:r>
      <w:proofErr w:type="spellEnd"/>
      <w:r w:rsidR="00FB730B" w:rsidRPr="00FB730B">
        <w:rPr>
          <w:b/>
          <w:color w:val="202020"/>
        </w:rPr>
        <w:t xml:space="preserve"> </w:t>
      </w:r>
      <w:proofErr w:type="spellStart"/>
      <w:r w:rsidR="00FB730B" w:rsidRPr="00FB730B">
        <w:rPr>
          <w:b/>
          <w:color w:val="202020"/>
        </w:rPr>
        <w:t>House</w:t>
      </w:r>
      <w:proofErr w:type="spellEnd"/>
      <w:r w:rsidR="00FB730B" w:rsidRPr="00FB730B">
        <w:rPr>
          <w:b/>
          <w:color w:val="202020"/>
        </w:rPr>
        <w:t> para a região da América Latina do </w:t>
      </w:r>
      <w:proofErr w:type="spellStart"/>
      <w:r w:rsidR="00FB730B" w:rsidRPr="00FB730B">
        <w:rPr>
          <w:b/>
          <w:color w:val="202020"/>
        </w:rPr>
        <w:t>Institute</w:t>
      </w:r>
      <w:proofErr w:type="spellEnd"/>
      <w:r w:rsidR="00FB730B" w:rsidRPr="00FB730B">
        <w:rPr>
          <w:b/>
          <w:color w:val="202020"/>
        </w:rPr>
        <w:t xml:space="preserve"> </w:t>
      </w:r>
      <w:proofErr w:type="spellStart"/>
      <w:r w:rsidR="00FB730B" w:rsidRPr="00FB730B">
        <w:rPr>
          <w:b/>
          <w:color w:val="202020"/>
        </w:rPr>
        <w:t>of</w:t>
      </w:r>
      <w:proofErr w:type="spellEnd"/>
      <w:r w:rsidR="00FB730B" w:rsidRPr="00FB730B">
        <w:rPr>
          <w:b/>
          <w:color w:val="202020"/>
        </w:rPr>
        <w:t xml:space="preserve"> Management in </w:t>
      </w:r>
      <w:proofErr w:type="spellStart"/>
      <w:r w:rsidR="00FB730B" w:rsidRPr="00FB730B">
        <w:rPr>
          <w:b/>
          <w:color w:val="202020"/>
        </w:rPr>
        <w:t>Latin</w:t>
      </w:r>
      <w:proofErr w:type="spellEnd"/>
      <w:r w:rsidR="00FB730B" w:rsidRPr="00FB730B">
        <w:rPr>
          <w:b/>
          <w:color w:val="202020"/>
        </w:rPr>
        <w:t xml:space="preserve"> </w:t>
      </w:r>
      <w:proofErr w:type="spellStart"/>
      <w:r w:rsidR="00FB730B" w:rsidRPr="00FB730B">
        <w:rPr>
          <w:b/>
          <w:color w:val="202020"/>
        </w:rPr>
        <w:t>America</w:t>
      </w:r>
      <w:proofErr w:type="spellEnd"/>
      <w:r w:rsidR="00FB730B" w:rsidRPr="00FB730B">
        <w:rPr>
          <w:b/>
          <w:color w:val="202020"/>
        </w:rPr>
        <w:t> (</w:t>
      </w:r>
      <w:hyperlink r:id="rId7" w:tgtFrame="_blank" w:history="1">
        <w:r w:rsidR="00FB730B" w:rsidRPr="00FB730B">
          <w:rPr>
            <w:b/>
            <w:color w:val="202020"/>
          </w:rPr>
          <w:t xml:space="preserve">Universidade de St. </w:t>
        </w:r>
        <w:proofErr w:type="spellStart"/>
        <w:r w:rsidR="00FB730B" w:rsidRPr="00FB730B">
          <w:rPr>
            <w:b/>
            <w:color w:val="202020"/>
          </w:rPr>
          <w:t>Gallen</w:t>
        </w:r>
        <w:proofErr w:type="spellEnd"/>
      </w:hyperlink>
      <w:r w:rsidR="00FB730B" w:rsidRPr="00FB730B">
        <w:rPr>
          <w:b/>
          <w:color w:val="202020"/>
        </w:rPr>
        <w:t>)</w:t>
      </w:r>
      <w:r w:rsidRPr="00B035E5">
        <w:rPr>
          <w:b/>
          <w:color w:val="202020"/>
        </w:rPr>
        <w:t>.</w:t>
      </w:r>
    </w:p>
    <w:p w:rsidR="00FA492C" w:rsidRDefault="003700F9">
      <w:pPr>
        <w:spacing w:after="19" w:line="259" w:lineRule="auto"/>
        <w:ind w:left="14" w:right="0" w:firstLine="0"/>
      </w:pPr>
      <w:r>
        <w:t xml:space="preserve">  </w:t>
      </w:r>
    </w:p>
    <w:p w:rsidR="00FA492C" w:rsidRDefault="003700F9">
      <w:pPr>
        <w:spacing w:after="38" w:line="259" w:lineRule="auto"/>
        <w:ind w:left="14" w:right="0" w:firstLine="0"/>
      </w:pPr>
      <w:r>
        <w:rPr>
          <w:b/>
          <w:color w:val="4F81BD"/>
        </w:rPr>
        <w:t xml:space="preserve"> </w:t>
      </w:r>
      <w:r>
        <w:t xml:space="preserve"> </w:t>
      </w:r>
    </w:p>
    <w:p w:rsidR="00FA492C" w:rsidRDefault="003700F9">
      <w:pPr>
        <w:pStyle w:val="Ttulo1"/>
        <w:ind w:left="191" w:hanging="206"/>
      </w:pPr>
      <w:r>
        <w:t xml:space="preserve">DEFINIÇÕES PRELIMINARES  </w:t>
      </w:r>
    </w:p>
    <w:p w:rsidR="00FB730B" w:rsidRDefault="00B035E5" w:rsidP="00B035E5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035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1.1 </w:t>
      </w:r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Chamada </w:t>
      </w:r>
      <w:proofErr w:type="spellStart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nexBio</w:t>
      </w:r>
      <w:proofErr w:type="spellEnd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Amazônia 2026 constitui-se como o Programa Suíço-Brasileiro de Inovação Sustentável para a </w:t>
      </w:r>
      <w:proofErr w:type="spellStart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Bioeconomia</w:t>
      </w:r>
      <w:proofErr w:type="spellEnd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. Em sua terceira edição, o programa é uma iniciativa bilateral de cooperação internacional.</w:t>
      </w:r>
    </w:p>
    <w:p w:rsidR="00FB730B" w:rsidRDefault="00B035E5" w:rsidP="00B035E5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035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1.2 </w:t>
      </w:r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programa é executado pela </w:t>
      </w:r>
      <w:proofErr w:type="spellStart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Swissnex</w:t>
      </w:r>
      <w:proofErr w:type="spellEnd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pela </w:t>
      </w:r>
      <w:proofErr w:type="spellStart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Swiss</w:t>
      </w:r>
      <w:proofErr w:type="spellEnd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Leading</w:t>
      </w:r>
      <w:proofErr w:type="spellEnd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House</w:t>
      </w:r>
      <w:proofErr w:type="spellEnd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América Latina (Universidade de </w:t>
      </w:r>
      <w:proofErr w:type="spellStart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St.Gallen</w:t>
      </w:r>
      <w:proofErr w:type="spellEnd"/>
      <w:r w:rsidR="00FB730B"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e pelo CONFAP (Conselho Nacional das Fundações </w:t>
      </w:r>
      <w:r w:rsid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Estaduais de Amparo à Pesquisa) disponível</w:t>
      </w:r>
      <w:r w:rsidRPr="00B035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 portal oficial do CONFAP (</w:t>
      </w:r>
      <w:hyperlink r:id="rId8" w:history="1">
        <w:proofErr w:type="gramStart"/>
        <w:r w:rsidR="00DF534D" w:rsidRPr="001308F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https://confap.org.br/pt/editais/108/chamada-nexbio-amazonia-2026</w:t>
        </w:r>
      </w:hyperlink>
      <w:r w:rsidR="00DF534D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F534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gramEnd"/>
      <w:r w:rsidRPr="00B035E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B035E5" w:rsidRPr="00B035E5" w:rsidRDefault="00FB730B" w:rsidP="00B035E5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1.3 </w:t>
      </w:r>
      <w:r w:rsidRPr="00FB730B">
        <w:rPr>
          <w:rFonts w:ascii="Times New Roman" w:eastAsia="Times New Roman" w:hAnsi="Times New Roman" w:cs="Times New Roman"/>
          <w:color w:val="auto"/>
          <w:sz w:val="24"/>
          <w:szCs w:val="24"/>
        </w:rPr>
        <w:t>Público-Alvo: Pesquisadores vinculados a instituições de pesquisa e startups sediadas no Brasil ou na Suíça.</w:t>
      </w:r>
      <w:r w:rsidR="00B035E5" w:rsidRPr="00B035E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A492C" w:rsidRDefault="003700F9">
      <w:pPr>
        <w:spacing w:after="36" w:line="259" w:lineRule="auto"/>
        <w:ind w:left="14" w:right="0" w:firstLine="0"/>
      </w:pPr>
      <w:r>
        <w:t xml:space="preserve">  </w:t>
      </w:r>
    </w:p>
    <w:p w:rsidR="00FA492C" w:rsidRDefault="003700F9">
      <w:pPr>
        <w:pStyle w:val="Ttulo1"/>
        <w:ind w:left="191" w:hanging="206"/>
      </w:pPr>
      <w:r>
        <w:t xml:space="preserve">OBJETIVOS  </w:t>
      </w:r>
    </w:p>
    <w:p w:rsidR="00B035E5" w:rsidRDefault="00B035E5">
      <w:pPr>
        <w:spacing w:after="33" w:line="261" w:lineRule="auto"/>
        <w:ind w:left="9" w:right="0"/>
        <w:jc w:val="both"/>
        <w:rPr>
          <w:rStyle w:val="citation-38"/>
        </w:rPr>
      </w:pPr>
      <w:r>
        <w:rPr>
          <w:rStyle w:val="citation-38"/>
        </w:rPr>
        <w:t xml:space="preserve">2.1 </w:t>
      </w:r>
      <w:r w:rsidR="00AE62B0">
        <w:rPr>
          <w:rStyle w:val="citation-60"/>
        </w:rPr>
        <w:t xml:space="preserve">O foco central da chamada é a </w:t>
      </w:r>
      <w:r w:rsidR="00AE62B0">
        <w:rPr>
          <w:rStyle w:val="citation-60"/>
          <w:b/>
          <w:bCs/>
        </w:rPr>
        <w:t>sociobioeconomia</w:t>
      </w:r>
      <w:r w:rsidR="00AE62B0">
        <w:rPr>
          <w:rStyle w:val="citation-60"/>
        </w:rPr>
        <w:t>, visando o desenvolvimento de soluções com impacto positivo na região amazônica frente às mudanças climáticas e à perda de biodiversidade</w:t>
      </w:r>
      <w:r w:rsidR="00AE62B0">
        <w:t>.</w:t>
      </w:r>
    </w:p>
    <w:p w:rsidR="00B035E5" w:rsidRDefault="00B035E5">
      <w:pPr>
        <w:spacing w:after="33" w:line="261" w:lineRule="auto"/>
        <w:ind w:left="9" w:right="0"/>
        <w:jc w:val="both"/>
      </w:pPr>
      <w:proofErr w:type="gramStart"/>
      <w:r>
        <w:t xml:space="preserve">2.2 </w:t>
      </w:r>
      <w:r w:rsidR="00AE62B0">
        <w:rPr>
          <w:rStyle w:val="citation-59"/>
        </w:rPr>
        <w:t>Catalisar</w:t>
      </w:r>
      <w:proofErr w:type="gramEnd"/>
      <w:r w:rsidR="00AE62B0">
        <w:rPr>
          <w:rStyle w:val="citation-59"/>
        </w:rPr>
        <w:t xml:space="preserve"> novas parcerias internacionais entre a Suíça e o Brasil para iniciar projetos de inovação sustentável que contribuam para uma </w:t>
      </w:r>
      <w:proofErr w:type="spellStart"/>
      <w:r w:rsidR="00AE62B0">
        <w:rPr>
          <w:rStyle w:val="citation-59"/>
        </w:rPr>
        <w:t>bioeconomia</w:t>
      </w:r>
      <w:proofErr w:type="spellEnd"/>
      <w:r w:rsidR="00AE62B0">
        <w:rPr>
          <w:rStyle w:val="citation-59"/>
        </w:rPr>
        <w:t xml:space="preserve"> inclusiva e eficiente na Amazônia</w:t>
      </w:r>
      <w:r w:rsidR="00AE62B0">
        <w:t>.</w:t>
      </w:r>
    </w:p>
    <w:p w:rsidR="00FB730B" w:rsidRDefault="00AE62B0" w:rsidP="00FB730B">
      <w:pPr>
        <w:spacing w:after="33" w:line="261" w:lineRule="auto"/>
        <w:ind w:left="9" w:right="0"/>
        <w:jc w:val="both"/>
      </w:pPr>
      <w:r>
        <w:t>2.3</w:t>
      </w:r>
      <w:r w:rsidR="00FB730B">
        <w:t xml:space="preserve">. </w:t>
      </w:r>
      <w:r w:rsidR="00FB730B" w:rsidRPr="00FB730B">
        <w:t>Desenvolvimento de Soluções: Implementar tecnologias e processos que utilizem recursos biológicos de forma integrada aos ciclos naturais (biotecnologia, agricultura, química verde).</w:t>
      </w:r>
      <w:r w:rsidR="00FB730B">
        <w:t xml:space="preserve"> </w:t>
      </w:r>
    </w:p>
    <w:p w:rsidR="00FB730B" w:rsidRDefault="00FB730B">
      <w:pPr>
        <w:spacing w:after="33" w:line="261" w:lineRule="auto"/>
        <w:ind w:left="9" w:right="0"/>
        <w:jc w:val="both"/>
      </w:pPr>
      <w:r w:rsidRPr="00FB730B">
        <w:t>Conexão Estratégica: Oferecer aos participantes o conhecimento e as conexões necessárias para navegar no ecossistema de inovação amazônico</w:t>
      </w:r>
      <w:r>
        <w:t>.</w:t>
      </w:r>
    </w:p>
    <w:p w:rsidR="00FB730B" w:rsidRDefault="00FB730B">
      <w:pPr>
        <w:spacing w:after="33" w:line="261" w:lineRule="auto"/>
        <w:ind w:left="9" w:right="0"/>
        <w:jc w:val="both"/>
      </w:pPr>
      <w:r w:rsidRPr="00FB730B">
        <w:t>Intercâmbio de Conhecimento: Promover a integração entre o conhecimento científico de ponta, a inovação tecnológica e a expertise local/tradicional da região.</w:t>
      </w:r>
    </w:p>
    <w:p w:rsidR="00FB730B" w:rsidRDefault="00FB730B">
      <w:pPr>
        <w:spacing w:after="33" w:line="261" w:lineRule="auto"/>
        <w:ind w:left="9" w:right="0"/>
        <w:jc w:val="both"/>
      </w:pPr>
      <w:r w:rsidRPr="00FB730B">
        <w:t>Validação e Mercado: Apoiar o desenvolvimento e teste de modelos de negócios sustentáveis e a validação de mercado aprofundada no contexto local.</w:t>
      </w:r>
    </w:p>
    <w:p w:rsidR="00AE62B0" w:rsidRDefault="00FB730B">
      <w:pPr>
        <w:spacing w:after="33" w:line="261" w:lineRule="auto"/>
        <w:ind w:left="9" w:right="0"/>
        <w:jc w:val="both"/>
        <w:rPr>
          <w:rStyle w:val="citation-37"/>
        </w:rPr>
      </w:pPr>
      <w:r w:rsidRPr="00FB730B">
        <w:t>Alinhamento Global: Garantir que todos os projetos e eixos de pesquisa estejam alinhados aos Objetivos de Desenvolvimento Sustentável (ODS).</w:t>
      </w:r>
    </w:p>
    <w:p w:rsidR="00B035E5" w:rsidRDefault="00AE62B0">
      <w:pPr>
        <w:spacing w:after="33" w:line="261" w:lineRule="auto"/>
        <w:ind w:left="9" w:right="0"/>
        <w:jc w:val="both"/>
        <w:rPr>
          <w:rStyle w:val="citation-36"/>
        </w:rPr>
      </w:pPr>
      <w:proofErr w:type="gramStart"/>
      <w:r>
        <w:t>2.4</w:t>
      </w:r>
      <w:r w:rsidR="00B035E5">
        <w:t xml:space="preserve"> Fortalecer</w:t>
      </w:r>
      <w:proofErr w:type="gramEnd"/>
      <w:r w:rsidR="00B035E5">
        <w:t xml:space="preserve"> a produção científica e tecnológica com aderência ao plano "Paraná 2040 – Rotas Estratégicas de CT&amp;I" e às áreas prioritárias do CCT-Paraná: Agricultura &amp; Agronegócio; Biotecnologia &amp; Saúde; Energias Inteligentes; Cidades Inteligentes; </w:t>
      </w:r>
      <w:r w:rsidR="00B035E5">
        <w:rPr>
          <w:rStyle w:val="citation-36"/>
        </w:rPr>
        <w:t>Educação, Sociedade &amp; Economia; além das transversais Desenvolvimento Sustentável e Transformação Digital.</w:t>
      </w:r>
    </w:p>
    <w:p w:rsidR="00FA492C" w:rsidRDefault="003700F9" w:rsidP="0084555F">
      <w:pPr>
        <w:spacing w:after="33" w:line="261" w:lineRule="auto"/>
        <w:ind w:left="9" w:right="0"/>
        <w:jc w:val="both"/>
      </w:pPr>
      <w:r>
        <w:rPr>
          <w:color w:val="202020"/>
        </w:rPr>
        <w:lastRenderedPageBreak/>
        <w:t xml:space="preserve"> </w:t>
      </w:r>
      <w:r>
        <w:t>Parágrafo único: As informações sobre as áreas prioritárias do CCT/PR estão detalhadas na Nota Técnica 02/2021/FA (Disponível e</w:t>
      </w:r>
      <w:hyperlink r:id="rId9">
        <w:r>
          <w:t>m</w:t>
        </w:r>
      </w:hyperlink>
      <w:hyperlink r:id="rId10">
        <w:r>
          <w:t>:</w:t>
        </w:r>
      </w:hyperlink>
      <w:hyperlink r:id="rId11">
        <w:r>
          <w:t xml:space="preserve"> </w:t>
        </w:r>
      </w:hyperlink>
      <w:hyperlink r:id="rId12">
        <w:r>
          <w:rPr>
            <w:color w:val="1155CC"/>
            <w:u w:val="single" w:color="1155CC"/>
          </w:rPr>
          <w:t>Nota Técnica F</w:t>
        </w:r>
      </w:hyperlink>
      <w:hyperlink r:id="rId13">
        <w:r>
          <w:rPr>
            <w:color w:val="1155CC"/>
            <w:u w:val="single" w:color="1155CC"/>
          </w:rPr>
          <w:t>A</w:t>
        </w:r>
      </w:hyperlink>
      <w:hyperlink r:id="rId14">
        <w:r>
          <w:t>)</w:t>
        </w:r>
      </w:hyperlink>
      <w:hyperlink r:id="rId15">
        <w:r>
          <w:t>.</w:t>
        </w:r>
      </w:hyperlink>
      <w:r>
        <w:t xml:space="preserve"> Detalhes sobre o Projeto Rotas 2040 estão disponíveis em:</w:t>
      </w:r>
      <w:hyperlink r:id="rId16">
        <w:r>
          <w:t xml:space="preserve"> </w:t>
        </w:r>
      </w:hyperlink>
      <w:hyperlink r:id="rId17">
        <w:r>
          <w:rPr>
            <w:color w:val="1155CC"/>
            <w:u w:val="single" w:color="1155CC"/>
          </w:rPr>
          <w:t>Paraná 2040</w:t>
        </w:r>
      </w:hyperlink>
      <w:hyperlink r:id="rId18">
        <w:r>
          <w:rPr>
            <w:color w:val="1155CC"/>
            <w:u w:val="single" w:color="1155CC"/>
          </w:rPr>
          <w:t xml:space="preserve"> </w:t>
        </w:r>
      </w:hyperlink>
      <w:hyperlink r:id="rId19">
        <w:r>
          <w:rPr>
            <w:color w:val="1155CC"/>
            <w:u w:val="single" w:color="1155CC"/>
          </w:rPr>
          <w:t>–</w:t>
        </w:r>
      </w:hyperlink>
      <w:hyperlink r:id="rId20">
        <w:r>
          <w:rPr>
            <w:color w:val="1155CC"/>
          </w:rPr>
          <w:t xml:space="preserve"> </w:t>
        </w:r>
      </w:hyperlink>
      <w:hyperlink r:id="rId21">
        <w:proofErr w:type="spellStart"/>
        <w:r>
          <w:rPr>
            <w:color w:val="1155CC"/>
            <w:u w:val="single" w:color="1155CC"/>
          </w:rPr>
          <w:t>iAraucári</w:t>
        </w:r>
      </w:hyperlink>
      <w:hyperlink r:id="rId22">
        <w:r>
          <w:rPr>
            <w:color w:val="1155CC"/>
            <w:u w:val="single" w:color="1155CC"/>
          </w:rPr>
          <w:t>a</w:t>
        </w:r>
        <w:proofErr w:type="spellEnd"/>
      </w:hyperlink>
      <w:hyperlink r:id="rId23">
        <w:r>
          <w:t>.</w:t>
        </w:r>
      </w:hyperlink>
      <w:hyperlink r:id="rId24">
        <w:r>
          <w:t xml:space="preserve"> </w:t>
        </w:r>
      </w:hyperlink>
      <w:r>
        <w:t xml:space="preserve"> </w:t>
      </w:r>
    </w:p>
    <w:p w:rsidR="00FA492C" w:rsidRDefault="003700F9">
      <w:pPr>
        <w:spacing w:after="0" w:line="277" w:lineRule="auto"/>
        <w:ind w:left="14" w:right="8644" w:firstLine="0"/>
      </w:pPr>
      <w:r>
        <w:rPr>
          <w:color w:val="202020"/>
        </w:rPr>
        <w:t xml:space="preserve"> </w:t>
      </w:r>
      <w:r>
        <w:t xml:space="preserve"> </w:t>
      </w:r>
      <w:r>
        <w:rPr>
          <w:color w:val="202020"/>
        </w:rPr>
        <w:t xml:space="preserve"> </w:t>
      </w:r>
      <w:r>
        <w:t xml:space="preserve"> </w:t>
      </w:r>
    </w:p>
    <w:p w:rsidR="00FA492C" w:rsidRDefault="003700F9">
      <w:pPr>
        <w:pStyle w:val="Ttulo1"/>
        <w:ind w:left="191" w:hanging="206"/>
      </w:pPr>
      <w:r>
        <w:t xml:space="preserve">RECURSOS FINANCEIROS  </w:t>
      </w:r>
    </w:p>
    <w:p w:rsidR="00B035E5" w:rsidRDefault="00B035E5">
      <w:pPr>
        <w:spacing w:after="30" w:line="241" w:lineRule="auto"/>
        <w:ind w:left="0" w:right="-12" w:hanging="15"/>
        <w:jc w:val="both"/>
        <w:rPr>
          <w:rStyle w:val="citation-35"/>
        </w:rPr>
      </w:pPr>
      <w:r>
        <w:rPr>
          <w:rStyle w:val="citation-35"/>
        </w:rPr>
        <w:t>3.1 A Fundação Araucária reservará recursos orçamentários do exercício de 2026/2027 para o atendimento desta Chamada.</w:t>
      </w:r>
    </w:p>
    <w:p w:rsidR="00B035E5" w:rsidRDefault="00B035E5">
      <w:pPr>
        <w:spacing w:after="30" w:line="241" w:lineRule="auto"/>
        <w:ind w:left="0" w:right="-12" w:hanging="15"/>
        <w:jc w:val="both"/>
      </w:pPr>
      <w:r>
        <w:rPr>
          <w:rStyle w:val="citation-35"/>
        </w:rPr>
        <w:t xml:space="preserve"> </w:t>
      </w:r>
      <w:proofErr w:type="gramStart"/>
      <w:r>
        <w:t>3.2 Serão</w:t>
      </w:r>
      <w:proofErr w:type="gramEnd"/>
      <w:r>
        <w:t xml:space="preserve"> financiados até </w:t>
      </w:r>
      <w:r>
        <w:rPr>
          <w:b/>
          <w:bCs/>
        </w:rPr>
        <w:t>0</w:t>
      </w:r>
      <w:r w:rsidR="00DF534D">
        <w:rPr>
          <w:b/>
          <w:bCs/>
        </w:rPr>
        <w:t>5</w:t>
      </w:r>
      <w:r>
        <w:rPr>
          <w:b/>
          <w:bCs/>
        </w:rPr>
        <w:t xml:space="preserve"> (</w:t>
      </w:r>
      <w:r w:rsidR="00DF534D">
        <w:rPr>
          <w:b/>
          <w:bCs/>
        </w:rPr>
        <w:t>cinco</w:t>
      </w:r>
      <w:r>
        <w:rPr>
          <w:b/>
          <w:bCs/>
        </w:rPr>
        <w:t>) projetos</w:t>
      </w:r>
      <w:r>
        <w:t xml:space="preserve">. </w:t>
      </w:r>
    </w:p>
    <w:p w:rsidR="00FA492C" w:rsidRDefault="00B035E5">
      <w:pPr>
        <w:spacing w:after="30" w:line="241" w:lineRule="auto"/>
        <w:ind w:left="0" w:right="-12" w:hanging="15"/>
        <w:jc w:val="both"/>
      </w:pPr>
      <w:r>
        <w:t xml:space="preserve">3.3 O valor máximo de financiamento por projeto será de </w:t>
      </w:r>
      <w:r w:rsidR="00DF534D">
        <w:rPr>
          <w:b/>
          <w:bCs/>
        </w:rPr>
        <w:t>até RS$ 35.00</w:t>
      </w:r>
      <w:r>
        <w:rPr>
          <w:b/>
          <w:bCs/>
        </w:rPr>
        <w:t>0,00 (</w:t>
      </w:r>
      <w:r w:rsidR="00DF534D">
        <w:rPr>
          <w:b/>
          <w:bCs/>
        </w:rPr>
        <w:t>trinta e cinco</w:t>
      </w:r>
      <w:r>
        <w:rPr>
          <w:b/>
          <w:bCs/>
        </w:rPr>
        <w:t xml:space="preserve"> mil </w:t>
      </w:r>
      <w:r w:rsidR="00DF534D">
        <w:rPr>
          <w:b/>
          <w:bCs/>
        </w:rPr>
        <w:t>reais</w:t>
      </w:r>
      <w:r>
        <w:rPr>
          <w:b/>
          <w:bCs/>
        </w:rPr>
        <w:t>)</w:t>
      </w:r>
      <w:r>
        <w:t>, utilizando recursos próprios da Fundação Araucária</w:t>
      </w:r>
      <w:r w:rsidR="003700F9">
        <w:t xml:space="preserve">.  </w:t>
      </w:r>
    </w:p>
    <w:p w:rsidR="00FA492C" w:rsidRDefault="003700F9">
      <w:pPr>
        <w:spacing w:after="126" w:line="259" w:lineRule="auto"/>
        <w:ind w:left="14" w:right="0" w:firstLine="0"/>
      </w:pPr>
      <w:r>
        <w:t xml:space="preserve">  </w:t>
      </w:r>
    </w:p>
    <w:p w:rsidR="00FA492C" w:rsidRDefault="003700F9">
      <w:pPr>
        <w:pStyle w:val="Ttulo1"/>
        <w:spacing w:after="95"/>
        <w:ind w:left="187" w:hanging="202"/>
      </w:pPr>
      <w:r>
        <w:t xml:space="preserve">ITENS FINANCIÁVEIS  </w:t>
      </w:r>
    </w:p>
    <w:p w:rsidR="00FA492C" w:rsidRDefault="003700F9">
      <w:pPr>
        <w:spacing w:after="26"/>
        <w:ind w:left="9" w:right="0"/>
      </w:pPr>
      <w:proofErr w:type="gramStart"/>
      <w:r>
        <w:t>4.1 Serão</w:t>
      </w:r>
      <w:proofErr w:type="gramEnd"/>
      <w:r>
        <w:t xml:space="preserve"> financiados até </w:t>
      </w:r>
      <w:r w:rsidR="00DF534D">
        <w:t>5</w:t>
      </w:r>
      <w:r>
        <w:t xml:space="preserve"> (</w:t>
      </w:r>
      <w:r w:rsidR="00DF534D">
        <w:t>cinco</w:t>
      </w:r>
      <w:r w:rsidR="0084555F">
        <w:t xml:space="preserve">) projetos, no valor de até </w:t>
      </w:r>
      <w:r w:rsidR="00DF534D" w:rsidRPr="00DF534D">
        <w:rPr>
          <w:bCs/>
        </w:rPr>
        <w:t>RS$ 35.000,00 (trinta e cinco mil reais)</w:t>
      </w:r>
      <w:r w:rsidRPr="00DF534D">
        <w:t xml:space="preserve">.  </w:t>
      </w:r>
    </w:p>
    <w:p w:rsidR="00ED426F" w:rsidRDefault="003700F9" w:rsidP="00A322A3">
      <w:pPr>
        <w:ind w:left="9" w:right="0"/>
      </w:pPr>
      <w:proofErr w:type="gramStart"/>
      <w:r>
        <w:t>4.2 Os</w:t>
      </w:r>
      <w:proofErr w:type="gramEnd"/>
      <w:r>
        <w:t xml:space="preserve"> recursos deverão ser utilizados para financiar itens de custeio: </w:t>
      </w:r>
    </w:p>
    <w:p w:rsidR="00A322A3" w:rsidRDefault="0084555F" w:rsidP="00A322A3">
      <w:pPr>
        <w:ind w:left="9" w:right="0"/>
      </w:pPr>
      <w:r w:rsidRPr="0084555F">
        <w:t xml:space="preserve">a) Passagens </w:t>
      </w:r>
      <w:r w:rsidR="00DF534D" w:rsidRPr="00DF534D">
        <w:t>Naciona</w:t>
      </w:r>
      <w:r w:rsidR="00ED426F">
        <w:t>is de i</w:t>
      </w:r>
      <w:r w:rsidR="00ED426F" w:rsidRPr="00DF534D">
        <w:t>da e volta</w:t>
      </w:r>
      <w:r w:rsidR="00ED426F">
        <w:t xml:space="preserve">: </w:t>
      </w:r>
      <w:r w:rsidR="00DF534D" w:rsidRPr="00DF534D">
        <w:t>Origem (Para</w:t>
      </w:r>
      <w:r w:rsidR="00DF534D">
        <w:t>ná) /</w:t>
      </w:r>
      <w:r w:rsidR="00ED426F">
        <w:t xml:space="preserve"> Destino</w:t>
      </w:r>
      <w:r w:rsidR="00DF534D">
        <w:t xml:space="preserve"> Macapá (AP) </w:t>
      </w:r>
      <w:r w:rsidR="00ED426F">
        <w:t>e/ou</w:t>
      </w:r>
      <w:r w:rsidR="00DF534D">
        <w:t xml:space="preserve"> </w:t>
      </w:r>
      <w:proofErr w:type="gramStart"/>
      <w:r w:rsidR="00ED426F">
        <w:t>Manaus(</w:t>
      </w:r>
      <w:proofErr w:type="gramEnd"/>
      <w:r w:rsidR="00ED426F">
        <w:t>AM)</w:t>
      </w:r>
      <w:r w:rsidR="00341937" w:rsidRPr="00341937">
        <w:t xml:space="preserve"> </w:t>
      </w:r>
      <w:r w:rsidR="00341937">
        <w:t xml:space="preserve">Passagens aéreas nos seguintes trechos: cidade de origem (Paraná)- </w:t>
      </w:r>
      <w:r w:rsidR="00341937">
        <w:t>Macapá</w:t>
      </w:r>
      <w:r w:rsidR="00341937">
        <w:t xml:space="preserve">, Macapá - Manaus e Manaus - cidade de origem (Paraná); </w:t>
      </w:r>
      <w:r w:rsidR="00ED426F">
        <w:t xml:space="preserve"> </w:t>
      </w:r>
      <w:r w:rsidR="00DF534D" w:rsidRPr="00DF534D">
        <w:t>.</w:t>
      </w:r>
    </w:p>
    <w:p w:rsidR="00DF534D" w:rsidRPr="0084555F" w:rsidRDefault="0084555F" w:rsidP="006A752E">
      <w:pPr>
        <w:ind w:left="9" w:right="0"/>
      </w:pPr>
      <w:r w:rsidRPr="0084555F">
        <w:t xml:space="preserve">b)  </w:t>
      </w:r>
      <w:r w:rsidR="006A752E">
        <w:t xml:space="preserve">Até 14 diárias, pagas a servidores participantes da equipe executora da proposta com vínculo empregatício/funcional permanente, necessárias ao desenvolvimento do projeto, conforme valores da Fundação Araucária. É vedado o pagamento de diárias para os bolsistas. (Disponível em: </w:t>
      </w:r>
      <w:hyperlink r:id="rId25" w:history="1">
        <w:r w:rsidR="006A752E" w:rsidRPr="00CA269A">
          <w:rPr>
            <w:rStyle w:val="Hyperlink"/>
          </w:rPr>
          <w:t>https://www.fappr.pr.gov.br/sites/fundacao-araucaria/arquivos_restritos/files/documento/2024- 03/atodefa0342024novatabeladediariasparaconvenios.pdf_-_atodefa0342024novatabelade diariasparaconvenios.pdf</w:t>
        </w:r>
      </w:hyperlink>
      <w:r w:rsidR="006A752E">
        <w:t xml:space="preserve"> ).Os gastos com diárias deverão respeitar os valores</w:t>
      </w:r>
      <w:r w:rsidR="006A752E">
        <w:rPr>
          <w:rFonts w:ascii="Cambria Math" w:hAnsi="Cambria Math" w:cs="Cambria Math"/>
        </w:rPr>
        <w:t>‐</w:t>
      </w:r>
      <w:r w:rsidR="006A752E">
        <w:t>limite estabelecidos pelo Decreto Estadual de nº. 12.736/2022</w:t>
      </w:r>
      <w:r w:rsidR="00DF534D" w:rsidRPr="00DF534D">
        <w:t xml:space="preserve"> </w:t>
      </w:r>
    </w:p>
    <w:p w:rsidR="0084555F" w:rsidRDefault="0084555F">
      <w:pPr>
        <w:ind w:left="9" w:right="0"/>
      </w:pPr>
    </w:p>
    <w:p w:rsidR="00FA492C" w:rsidRDefault="00ED426F" w:rsidP="0084555F">
      <w:pPr>
        <w:spacing w:after="30"/>
        <w:ind w:right="0"/>
        <w:jc w:val="both"/>
      </w:pPr>
      <w:r>
        <w:rPr>
          <w:color w:val="CE0B00"/>
          <w:shd w:val="clear" w:color="auto" w:fill="FFFFFF"/>
        </w:rPr>
        <w:t> </w:t>
      </w:r>
      <w:r w:rsidRPr="006A752E">
        <w:t>A Araucária não executa pagamentos diretamente para os bolsistas, apenas para as instituições conveniadas</w:t>
      </w:r>
      <w:r>
        <w:rPr>
          <w:color w:val="CE0B00"/>
          <w:shd w:val="clear" w:color="auto" w:fill="FFFFFF"/>
        </w:rPr>
        <w:t>.</w:t>
      </w:r>
      <w:r w:rsidR="003700F9">
        <w:t xml:space="preserve">   </w:t>
      </w:r>
    </w:p>
    <w:p w:rsidR="00FA492C" w:rsidRDefault="00FA492C">
      <w:pPr>
        <w:spacing w:after="0" w:line="259" w:lineRule="auto"/>
        <w:ind w:left="14" w:right="0" w:firstLine="0"/>
      </w:pPr>
    </w:p>
    <w:p w:rsidR="00FA492C" w:rsidRDefault="00FA492C">
      <w:pPr>
        <w:spacing w:after="0" w:line="259" w:lineRule="auto"/>
        <w:ind w:left="14" w:right="0" w:firstLine="0"/>
      </w:pPr>
    </w:p>
    <w:p w:rsidR="00FA492C" w:rsidRDefault="003700F9">
      <w:pPr>
        <w:pStyle w:val="Ttulo1"/>
        <w:ind w:left="220" w:hanging="206"/>
      </w:pPr>
      <w:r>
        <w:rPr>
          <w:color w:val="006FC0"/>
        </w:rPr>
        <w:t xml:space="preserve">SUBMISSÃO, AVALIAÇÃO E SELEÇÃO DA PROPOSTA </w:t>
      </w:r>
      <w:r>
        <w:t xml:space="preserve"> </w:t>
      </w:r>
    </w:p>
    <w:p w:rsidR="00FA492C" w:rsidRDefault="003700F9">
      <w:pPr>
        <w:spacing w:after="182"/>
        <w:ind w:left="9" w:right="488"/>
      </w:pPr>
      <w:r>
        <w:t>5.1 Submissão da Proposta: O pesquisador responsável pela submissão deverá possuir vínculo formal com Instituições de Ensino Superior, Institutos de Pesquisa de natureza pública, associações ou sociedades técnico-científicas (públicas ou privadas), ou Organizações Sociais (</w:t>
      </w:r>
      <w:proofErr w:type="spellStart"/>
      <w:r>
        <w:t>OS's</w:t>
      </w:r>
      <w:proofErr w:type="spellEnd"/>
      <w:r>
        <w:t xml:space="preserve">) sem fins lucrativos, todas com sede e CNPJ no Estado do Paraná.  </w:t>
      </w:r>
    </w:p>
    <w:p w:rsidR="00FA492C" w:rsidRDefault="00676410">
      <w:pPr>
        <w:spacing w:after="206" w:line="241" w:lineRule="auto"/>
        <w:ind w:left="0" w:right="-12" w:hanging="15"/>
        <w:jc w:val="both"/>
      </w:pPr>
      <w:r>
        <w:t>5.2</w:t>
      </w:r>
      <w:r w:rsidR="003700F9">
        <w:t xml:space="preserve"> </w:t>
      </w:r>
      <w:r w:rsidR="003700F9">
        <w:rPr>
          <w:b/>
        </w:rPr>
        <w:t>Envio da Proposta</w:t>
      </w:r>
      <w:r w:rsidR="003700F9">
        <w:t xml:space="preserve">: A proposta deve ser submetida ao CONFAP na língua estrangeira exigida pelo parceiro internacional e também em português, para que a avaliação possa ser conduzida pela Fundação Araucária. A submissão, junto com as cartas de aceite e a documentação exigida, deve ser realizada na plataforma do </w:t>
      </w:r>
      <w:r w:rsidR="00A322A3">
        <w:t>CONFAP</w:t>
      </w:r>
      <w:r w:rsidR="003700F9">
        <w:t xml:space="preserve">, observando os requisitos de elegibilidade da Fundação do estado. O prazo para envio é até </w:t>
      </w:r>
      <w:r w:rsidR="00DF534D">
        <w:rPr>
          <w:b/>
        </w:rPr>
        <w:t xml:space="preserve">03 </w:t>
      </w:r>
      <w:r w:rsidR="003700F9">
        <w:rPr>
          <w:b/>
        </w:rPr>
        <w:t xml:space="preserve">de </w:t>
      </w:r>
      <w:r w:rsidR="00E22412">
        <w:rPr>
          <w:b/>
        </w:rPr>
        <w:t>maio</w:t>
      </w:r>
      <w:r w:rsidR="003700F9">
        <w:rPr>
          <w:b/>
        </w:rPr>
        <w:t xml:space="preserve"> de 202</w:t>
      </w:r>
      <w:r w:rsidR="00E22412">
        <w:rPr>
          <w:b/>
        </w:rPr>
        <w:t>6</w:t>
      </w:r>
      <w:r w:rsidR="003700F9">
        <w:t xml:space="preserve">.  </w:t>
      </w:r>
    </w:p>
    <w:p w:rsidR="00FA492C" w:rsidRDefault="003700F9">
      <w:pPr>
        <w:spacing w:after="206" w:line="241" w:lineRule="auto"/>
        <w:ind w:left="0" w:right="-12" w:hanging="15"/>
        <w:jc w:val="both"/>
      </w:pPr>
      <w:r>
        <w:t xml:space="preserve">5.4 </w:t>
      </w:r>
      <w:r>
        <w:rPr>
          <w:b/>
        </w:rPr>
        <w:t>Submissão à Fundação Araucária</w:t>
      </w:r>
      <w:r>
        <w:t xml:space="preserve">: Em caso de aprovação nas etapas anteriores, o pesquisador deverá submeter a proposta à Fundação Araucária via plataforma </w:t>
      </w:r>
      <w:proofErr w:type="spellStart"/>
      <w:r>
        <w:rPr>
          <w:b/>
        </w:rPr>
        <w:t>Sparkx</w:t>
      </w:r>
      <w:proofErr w:type="spellEnd"/>
      <w:r>
        <w:t xml:space="preserve">, em </w:t>
      </w:r>
      <w:r>
        <w:lastRenderedPageBreak/>
        <w:t xml:space="preserve">data a ser definida, conforme regulamento. </w:t>
      </w:r>
      <w:r w:rsidR="00E22412" w:rsidRPr="00E22412">
        <w:rPr>
          <w:b/>
        </w:rPr>
        <w:t>Divulgação dos resultados</w:t>
      </w:r>
      <w:r w:rsidR="009910C4">
        <w:rPr>
          <w:b/>
        </w:rPr>
        <w:t xml:space="preserve"> pelo CONFAP</w:t>
      </w:r>
      <w:r w:rsidR="00E22412" w:rsidRPr="00E22412">
        <w:rPr>
          <w:b/>
        </w:rPr>
        <w:t xml:space="preserve">: </w:t>
      </w:r>
      <w:r w:rsidR="00DF534D">
        <w:rPr>
          <w:b/>
        </w:rPr>
        <w:t xml:space="preserve">22 de maio </w:t>
      </w:r>
      <w:r w:rsidR="00E22412" w:rsidRPr="00E22412">
        <w:rPr>
          <w:b/>
        </w:rPr>
        <w:t>de 2026</w:t>
      </w:r>
      <w:r w:rsidR="00E22412">
        <w:t>.</w:t>
      </w:r>
    </w:p>
    <w:p w:rsidR="00FA492C" w:rsidRDefault="003700F9">
      <w:pPr>
        <w:spacing w:after="261" w:line="241" w:lineRule="auto"/>
        <w:ind w:left="0" w:right="-12" w:hanging="15"/>
        <w:jc w:val="both"/>
      </w:pPr>
      <w:r>
        <w:t xml:space="preserve">5.5 </w:t>
      </w:r>
      <w:r>
        <w:rPr>
          <w:b/>
        </w:rPr>
        <w:t>Documentação e Regulamentação</w:t>
      </w:r>
      <w:r>
        <w:t xml:space="preserve">: Toda a documentação exigida deverá ser apresentada conforme os regulamentos da Fundação Araucária, que publicará os detalhes do processo de inexigibilidade da Chamada Pública em seu site, após o recebimento das propostas encaminhadas pelo </w:t>
      </w:r>
      <w:proofErr w:type="spellStart"/>
      <w:r>
        <w:t>Confap</w:t>
      </w:r>
      <w:proofErr w:type="spellEnd"/>
      <w:r>
        <w:t xml:space="preserve">.  </w:t>
      </w:r>
    </w:p>
    <w:p w:rsidR="00FA492C" w:rsidRDefault="003700F9">
      <w:pPr>
        <w:spacing w:after="38" w:line="259" w:lineRule="auto"/>
        <w:ind w:left="14" w:right="0" w:firstLine="0"/>
      </w:pPr>
      <w:r>
        <w:rPr>
          <w:b/>
          <w:color w:val="0070BF"/>
        </w:rPr>
        <w:t xml:space="preserve"> </w:t>
      </w:r>
      <w:r>
        <w:t xml:space="preserve"> </w:t>
      </w:r>
    </w:p>
    <w:p w:rsidR="00FA492C" w:rsidRDefault="003700F9">
      <w:pPr>
        <w:numPr>
          <w:ilvl w:val="0"/>
          <w:numId w:val="6"/>
        </w:numPr>
        <w:spacing w:after="45" w:line="259" w:lineRule="auto"/>
        <w:ind w:right="0" w:hanging="154"/>
      </w:pPr>
      <w:r>
        <w:rPr>
          <w:b/>
          <w:color w:val="0070BF"/>
        </w:rPr>
        <w:t xml:space="preserve">CRITÉRIOS DE ELEGIBILIDADE PARA A FUNDAÇÃO ARAUCÁRIA: </w:t>
      </w:r>
      <w:r>
        <w:t xml:space="preserve"> </w:t>
      </w:r>
    </w:p>
    <w:p w:rsidR="00FA492C" w:rsidRDefault="003700F9">
      <w:pPr>
        <w:numPr>
          <w:ilvl w:val="1"/>
          <w:numId w:val="6"/>
        </w:numPr>
        <w:spacing w:after="103" w:line="259" w:lineRule="auto"/>
        <w:ind w:left="1041" w:right="0" w:hanging="307"/>
      </w:pPr>
      <w:r>
        <w:rPr>
          <w:b/>
          <w:u w:val="single" w:color="000000"/>
        </w:rPr>
        <w:t>Condições específicas de elegibilidade da ICT:</w:t>
      </w:r>
      <w:r>
        <w:rPr>
          <w:b/>
        </w:rPr>
        <w:t xml:space="preserve"> </w:t>
      </w:r>
      <w:r>
        <w:t xml:space="preserve"> </w:t>
      </w:r>
    </w:p>
    <w:p w:rsidR="00FA492C" w:rsidRDefault="003700F9">
      <w:pPr>
        <w:numPr>
          <w:ilvl w:val="2"/>
          <w:numId w:val="6"/>
        </w:numPr>
        <w:ind w:right="0" w:hanging="216"/>
      </w:pPr>
      <w:r>
        <w:t xml:space="preserve">Ser ICT pública ou privada nos termos do Art. 2º, inc. VI, da Lei Estadual </w:t>
      </w:r>
    </w:p>
    <w:p w:rsidR="00FA492C" w:rsidRDefault="003700F9">
      <w:pPr>
        <w:spacing w:after="77"/>
        <w:ind w:left="716" w:right="0"/>
      </w:pPr>
      <w:r>
        <w:t xml:space="preserve">20.541/2021 com sede e CNPJ no Estado do Paraná;  </w:t>
      </w:r>
    </w:p>
    <w:p w:rsidR="00FA492C" w:rsidRDefault="003700F9">
      <w:pPr>
        <w:numPr>
          <w:ilvl w:val="2"/>
          <w:numId w:val="6"/>
        </w:numPr>
        <w:spacing w:after="97" w:line="241" w:lineRule="auto"/>
        <w:ind w:right="0" w:hanging="216"/>
      </w:pPr>
      <w:r>
        <w:t xml:space="preserve">Comprometer-se a propiciar condições adequadas de espaço, infraestrutura, pessoal de apoio técnico e administrativo, bem como tempo para a equipe se dedicar ao projeto proposto;  </w:t>
      </w:r>
    </w:p>
    <w:p w:rsidR="00FA492C" w:rsidRDefault="003700F9">
      <w:pPr>
        <w:numPr>
          <w:ilvl w:val="2"/>
          <w:numId w:val="6"/>
        </w:numPr>
        <w:spacing w:after="97" w:line="241" w:lineRule="auto"/>
        <w:ind w:right="0" w:hanging="216"/>
      </w:pPr>
      <w:r>
        <w:t xml:space="preserve">Apresentar, quando solicitadas, as certidões citadas no Art. 3º da Instrução Normativa nº 61/2011 do Tribunal de Contas do Estado do Paraná e os requisitos descritos no Ato Normativo nº 01/2012 da Fundação Araucária, para a formalização do instrumento jurídico.  </w:t>
      </w:r>
    </w:p>
    <w:p w:rsidR="00FA492C" w:rsidRDefault="003700F9">
      <w:pPr>
        <w:numPr>
          <w:ilvl w:val="1"/>
          <w:numId w:val="6"/>
        </w:numPr>
        <w:spacing w:after="103" w:line="259" w:lineRule="auto"/>
        <w:ind w:left="1041" w:right="0" w:hanging="307"/>
      </w:pPr>
      <w:r>
        <w:rPr>
          <w:b/>
          <w:u w:val="single" w:color="000000"/>
        </w:rPr>
        <w:t>Do Coordenador do Projeto:</w:t>
      </w:r>
      <w:r>
        <w:rPr>
          <w:b/>
        </w:rPr>
        <w:t xml:space="preserve"> </w:t>
      </w:r>
      <w:r>
        <w:t xml:space="preserve"> </w:t>
      </w:r>
    </w:p>
    <w:p w:rsidR="00FA492C" w:rsidRDefault="003700F9" w:rsidP="00D05267">
      <w:pPr>
        <w:numPr>
          <w:ilvl w:val="2"/>
          <w:numId w:val="6"/>
        </w:numPr>
        <w:ind w:left="716" w:right="0" w:hanging="216"/>
      </w:pPr>
      <w:r>
        <w:t xml:space="preserve">Atender todos os critérios de elegibilidade dispostos na Chamada </w:t>
      </w:r>
      <w:proofErr w:type="spellStart"/>
      <w:r w:rsidR="00A322A3">
        <w:rPr>
          <w:b/>
          <w:bCs/>
        </w:rPr>
        <w:t>Nex</w:t>
      </w:r>
      <w:r w:rsidR="009910C4">
        <w:rPr>
          <w:b/>
          <w:bCs/>
        </w:rPr>
        <w:t>Bio</w:t>
      </w:r>
      <w:proofErr w:type="spellEnd"/>
      <w:r w:rsidR="009910C4">
        <w:rPr>
          <w:b/>
          <w:bCs/>
        </w:rPr>
        <w:t xml:space="preserve"> Amazônia</w:t>
      </w:r>
      <w:r>
        <w:t xml:space="preserve">;  </w:t>
      </w:r>
    </w:p>
    <w:p w:rsidR="00FA492C" w:rsidRDefault="003700F9">
      <w:pPr>
        <w:numPr>
          <w:ilvl w:val="2"/>
          <w:numId w:val="6"/>
        </w:numPr>
        <w:spacing w:after="132"/>
        <w:ind w:right="0" w:hanging="216"/>
      </w:pPr>
      <w:r>
        <w:t xml:space="preserve">Ter vínculo formal com a instituição proponente;  </w:t>
      </w:r>
    </w:p>
    <w:p w:rsidR="00FA492C" w:rsidRDefault="003700F9">
      <w:pPr>
        <w:numPr>
          <w:ilvl w:val="2"/>
          <w:numId w:val="6"/>
        </w:numPr>
        <w:spacing w:after="103"/>
        <w:ind w:right="0" w:hanging="216"/>
      </w:pPr>
      <w:r>
        <w:t xml:space="preserve">Ser brasileiro ou possuir visto permanente no país;  </w:t>
      </w:r>
    </w:p>
    <w:p w:rsidR="00FA492C" w:rsidRDefault="003700F9">
      <w:pPr>
        <w:numPr>
          <w:ilvl w:val="2"/>
          <w:numId w:val="6"/>
        </w:numPr>
        <w:spacing w:after="30" w:line="241" w:lineRule="auto"/>
        <w:ind w:right="0" w:hanging="216"/>
      </w:pPr>
      <w:r>
        <w:t xml:space="preserve">Ser o responsável pela elaboração do projeto, envio da documentação, execução do projeto, seleção e acompanhamento dos itens financiáveis, envio de relatório e prestação de contas.  </w:t>
      </w:r>
    </w:p>
    <w:p w:rsidR="00FA492C" w:rsidRDefault="003700F9">
      <w:pPr>
        <w:spacing w:after="37" w:line="259" w:lineRule="auto"/>
        <w:ind w:left="14" w:right="0" w:firstLine="0"/>
      </w:pPr>
      <w:r>
        <w:rPr>
          <w:b/>
          <w:color w:val="006DBF"/>
        </w:rPr>
        <w:t xml:space="preserve"> </w:t>
      </w:r>
      <w:r>
        <w:t xml:space="preserve"> </w:t>
      </w:r>
    </w:p>
    <w:p w:rsidR="00FA492C" w:rsidRDefault="003700F9">
      <w:pPr>
        <w:numPr>
          <w:ilvl w:val="0"/>
          <w:numId w:val="6"/>
        </w:numPr>
        <w:spacing w:after="0" w:line="259" w:lineRule="auto"/>
        <w:ind w:right="0" w:hanging="154"/>
      </w:pPr>
      <w:r>
        <w:rPr>
          <w:b/>
          <w:color w:val="006DBF"/>
        </w:rPr>
        <w:t>INFORMAÇÕES ADICIONAIS</w:t>
      </w:r>
      <w:r>
        <w:rPr>
          <w:b/>
        </w:rPr>
        <w:t xml:space="preserve"> </w:t>
      </w:r>
      <w:r>
        <w:t xml:space="preserve"> </w:t>
      </w:r>
    </w:p>
    <w:p w:rsidR="00FA492C" w:rsidRDefault="003700F9" w:rsidP="00D92241">
      <w:pPr>
        <w:numPr>
          <w:ilvl w:val="1"/>
          <w:numId w:val="6"/>
        </w:numPr>
        <w:spacing w:after="134" w:line="259" w:lineRule="auto"/>
        <w:ind w:left="365" w:right="0" w:firstLine="0"/>
      </w:pPr>
      <w:r>
        <w:t xml:space="preserve">Para maiores informações acerca da Chamada CONFAP </w:t>
      </w:r>
      <w:proofErr w:type="spellStart"/>
      <w:r w:rsidR="009910C4">
        <w:rPr>
          <w:b/>
          <w:bCs/>
        </w:rPr>
        <w:t>NexBio</w:t>
      </w:r>
      <w:proofErr w:type="spellEnd"/>
      <w:r w:rsidR="009910C4">
        <w:rPr>
          <w:b/>
          <w:bCs/>
        </w:rPr>
        <w:t xml:space="preserve"> Amazônia</w:t>
      </w:r>
      <w:r w:rsidR="009910C4">
        <w:t xml:space="preserve"> </w:t>
      </w:r>
      <w:r>
        <w:t>os candidatos deverão entrar em contato através do endereço eletrônico:</w:t>
      </w:r>
      <w:r w:rsidRPr="00676410">
        <w:rPr>
          <w:color w:val="0000FF"/>
        </w:rPr>
        <w:t xml:space="preserve"> </w:t>
      </w:r>
      <w:r w:rsidR="00341937">
        <w:t>nexbioconfap@gmail.com</w:t>
      </w:r>
    </w:p>
    <w:p w:rsidR="00FA492C" w:rsidRDefault="003700F9">
      <w:pPr>
        <w:numPr>
          <w:ilvl w:val="1"/>
          <w:numId w:val="6"/>
        </w:numPr>
        <w:ind w:left="1041" w:right="0" w:hanging="307"/>
      </w:pPr>
      <w:r>
        <w:t xml:space="preserve">Esclarecimentos e informações adicionais acerca deste Regulamento podem ser obtidos pelo </w:t>
      </w:r>
      <w:proofErr w:type="gramStart"/>
      <w:r>
        <w:t>e-mail</w:t>
      </w:r>
      <w:r>
        <w:rPr>
          <w:color w:val="0000FF"/>
        </w:rPr>
        <w:t xml:space="preserve"> </w:t>
      </w:r>
      <w:r>
        <w:t>:</w:t>
      </w:r>
      <w:proofErr w:type="gramEnd"/>
      <w:r>
        <w:t xml:space="preserve"> </w:t>
      </w:r>
      <w:r>
        <w:rPr>
          <w:color w:val="0000FF"/>
          <w:u w:val="single" w:color="0000FF"/>
        </w:rPr>
        <w:t>internacional.confap@fundacaoaraucaria.org.br</w:t>
      </w:r>
      <w:r>
        <w:t xml:space="preserve">   </w:t>
      </w:r>
    </w:p>
    <w:p w:rsidR="00FA492C" w:rsidRDefault="003700F9" w:rsidP="009910C4">
      <w:pPr>
        <w:numPr>
          <w:ilvl w:val="1"/>
          <w:numId w:val="6"/>
        </w:numPr>
        <w:spacing w:line="260" w:lineRule="auto"/>
        <w:ind w:right="0" w:hanging="307"/>
      </w:pPr>
      <w:r>
        <w:t>Mais informações</w:t>
      </w:r>
      <w:r w:rsidR="00676410">
        <w:t>:</w:t>
      </w:r>
      <w:r>
        <w:t xml:space="preserve">  </w:t>
      </w:r>
      <w:proofErr w:type="gramStart"/>
      <w:r w:rsidR="009910C4" w:rsidRPr="009910C4">
        <w:rPr>
          <w:rStyle w:val="Hyperlink"/>
        </w:rPr>
        <w:t xml:space="preserve">https://confap.org.br/pt/editais/108/chamada-nexbio-amazonia-2026 </w:t>
      </w:r>
      <w:hyperlink r:id="rId26">
        <w:r>
          <w:t xml:space="preserve"> </w:t>
        </w:r>
      </w:hyperlink>
      <w:r>
        <w:t>.</w:t>
      </w:r>
      <w:proofErr w:type="gramEnd"/>
      <w:r>
        <w:t xml:space="preserve"> </w:t>
      </w:r>
    </w:p>
    <w:p w:rsidR="00FA492C" w:rsidRDefault="003700F9">
      <w:pPr>
        <w:spacing w:after="115" w:line="259" w:lineRule="auto"/>
        <w:ind w:left="14" w:right="0" w:firstLine="0"/>
      </w:pPr>
      <w:r>
        <w:t xml:space="preserve">  </w:t>
      </w:r>
    </w:p>
    <w:p w:rsidR="00FA492C" w:rsidRDefault="009910C4">
      <w:pPr>
        <w:spacing w:after="19" w:line="259" w:lineRule="auto"/>
        <w:ind w:left="0" w:right="10" w:firstLine="0"/>
        <w:jc w:val="right"/>
      </w:pPr>
      <w:r>
        <w:t>Curitiba, 23</w:t>
      </w:r>
      <w:bookmarkStart w:id="0" w:name="_GoBack"/>
      <w:bookmarkEnd w:id="0"/>
      <w:r w:rsidR="003700F9">
        <w:t xml:space="preserve"> de </w:t>
      </w:r>
      <w:r w:rsidR="00B035E5">
        <w:t>abril</w:t>
      </w:r>
      <w:r w:rsidR="003700F9">
        <w:t xml:space="preserve"> de 202</w:t>
      </w:r>
      <w:r w:rsidR="00B035E5">
        <w:t>6</w:t>
      </w:r>
      <w:r w:rsidR="003700F9">
        <w:t xml:space="preserve">.  </w:t>
      </w:r>
    </w:p>
    <w:p w:rsidR="00FA492C" w:rsidRDefault="003700F9">
      <w:pPr>
        <w:spacing w:after="0" w:line="277" w:lineRule="auto"/>
        <w:ind w:left="14" w:right="8644" w:firstLine="0"/>
      </w:pPr>
      <w:r>
        <w:t xml:space="preserve">    </w:t>
      </w:r>
    </w:p>
    <w:p w:rsidR="00FA492C" w:rsidRDefault="003700F9">
      <w:pPr>
        <w:spacing w:after="114" w:line="259" w:lineRule="auto"/>
        <w:ind w:left="14" w:right="0" w:firstLine="0"/>
      </w:pPr>
      <w:r>
        <w:t xml:space="preserve">  </w:t>
      </w:r>
    </w:p>
    <w:p w:rsidR="00FA492C" w:rsidRDefault="003700F9">
      <w:pPr>
        <w:spacing w:after="38" w:line="259" w:lineRule="auto"/>
        <w:ind w:left="0" w:right="722" w:firstLine="0"/>
        <w:jc w:val="center"/>
      </w:pPr>
      <w:r>
        <w:t xml:space="preserve">Ramiro </w:t>
      </w:r>
      <w:proofErr w:type="spellStart"/>
      <w:r>
        <w:t>Wahrhaftig</w:t>
      </w:r>
      <w:proofErr w:type="spellEnd"/>
      <w:r>
        <w:t xml:space="preserve">  </w:t>
      </w:r>
    </w:p>
    <w:p w:rsidR="00FA492C" w:rsidRDefault="003700F9">
      <w:pPr>
        <w:spacing w:after="0" w:line="259" w:lineRule="auto"/>
        <w:ind w:left="0" w:right="72" w:firstLine="0"/>
        <w:jc w:val="center"/>
      </w:pPr>
      <w:r>
        <w:rPr>
          <w:b/>
        </w:rPr>
        <w:t>Presidente da Fundação Araucária</w:t>
      </w:r>
      <w:r>
        <w:t xml:space="preserve"> </w:t>
      </w:r>
    </w:p>
    <w:sectPr w:rsidR="00FA492C">
      <w:headerReference w:type="even" r:id="rId27"/>
      <w:headerReference w:type="default" r:id="rId28"/>
      <w:headerReference w:type="first" r:id="rId29"/>
      <w:pgSz w:w="11909" w:h="16838"/>
      <w:pgMar w:top="2072" w:right="1564" w:bottom="1435" w:left="1565" w:header="57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FB" w:rsidRDefault="009604FB">
      <w:pPr>
        <w:spacing w:after="0" w:line="240" w:lineRule="auto"/>
      </w:pPr>
      <w:r>
        <w:separator/>
      </w:r>
    </w:p>
  </w:endnote>
  <w:endnote w:type="continuationSeparator" w:id="0">
    <w:p w:rsidR="009604FB" w:rsidRDefault="0096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FB" w:rsidRDefault="009604FB">
      <w:pPr>
        <w:spacing w:after="0" w:line="240" w:lineRule="auto"/>
      </w:pPr>
      <w:r>
        <w:separator/>
      </w:r>
    </w:p>
  </w:footnote>
  <w:footnote w:type="continuationSeparator" w:id="0">
    <w:p w:rsidR="009604FB" w:rsidRDefault="0096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2C" w:rsidRDefault="003700F9">
    <w:pPr>
      <w:spacing w:after="0" w:line="259" w:lineRule="auto"/>
      <w:ind w:left="14" w:righ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1336675</wp:posOffset>
          </wp:positionH>
          <wp:positionV relativeFrom="page">
            <wp:posOffset>530898</wp:posOffset>
          </wp:positionV>
          <wp:extent cx="869315" cy="491198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315" cy="49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2938780</wp:posOffset>
          </wp:positionH>
          <wp:positionV relativeFrom="page">
            <wp:posOffset>563880</wp:posOffset>
          </wp:positionV>
          <wp:extent cx="1697355" cy="420243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7355" cy="420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5567045</wp:posOffset>
          </wp:positionH>
          <wp:positionV relativeFrom="page">
            <wp:posOffset>449555</wp:posOffset>
          </wp:positionV>
          <wp:extent cx="695325" cy="649884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95325" cy="64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</w:rPr>
      <w:t xml:space="preserve"> </w:t>
    </w:r>
    <w:r>
      <w:t xml:space="preserve"> </w:t>
    </w:r>
    <w:r>
      <w:tab/>
    </w:r>
  </w:p>
  <w:p w:rsidR="00FA492C" w:rsidRDefault="003700F9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737" name="Group 4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744C38B" id="Group 4737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zd9z6VABAACu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2C" w:rsidRDefault="003700F9">
    <w:pPr>
      <w:spacing w:after="0" w:line="259" w:lineRule="auto"/>
      <w:ind w:left="14" w:right="0" w:firstLine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1336675</wp:posOffset>
          </wp:positionH>
          <wp:positionV relativeFrom="page">
            <wp:posOffset>530898</wp:posOffset>
          </wp:positionV>
          <wp:extent cx="869315" cy="491198"/>
          <wp:effectExtent l="0" t="0" r="0" b="0"/>
          <wp:wrapSquare wrapText="bothSides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315" cy="49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2938780</wp:posOffset>
          </wp:positionH>
          <wp:positionV relativeFrom="page">
            <wp:posOffset>563880</wp:posOffset>
          </wp:positionV>
          <wp:extent cx="1697355" cy="420243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7355" cy="420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</w:rPr>
      <w:t xml:space="preserve"> </w:t>
    </w:r>
    <w:r>
      <w:t xml:space="preserve"> </w:t>
    </w:r>
    <w:r>
      <w:tab/>
    </w:r>
    <w:r w:rsidR="00825D7A" w:rsidRPr="00825D7A">
      <w:rPr>
        <w:noProof/>
      </w:rPr>
      <w:drawing>
        <wp:inline distT="0" distB="0" distL="0" distR="0" wp14:anchorId="13BDF154" wp14:editId="3EA95B8C">
          <wp:extent cx="997379" cy="791399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2192" cy="803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492C" w:rsidRDefault="003700F9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722" name="Group 4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CD2C64B" id="Group 4722" o:spid="_x0000_s1026" style="position:absolute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FvEx2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2C" w:rsidRDefault="003700F9">
    <w:pPr>
      <w:spacing w:after="0" w:line="259" w:lineRule="auto"/>
      <w:ind w:left="14" w:righ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1336675</wp:posOffset>
          </wp:positionH>
          <wp:positionV relativeFrom="page">
            <wp:posOffset>530898</wp:posOffset>
          </wp:positionV>
          <wp:extent cx="869315" cy="491198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9315" cy="49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2938780</wp:posOffset>
          </wp:positionH>
          <wp:positionV relativeFrom="page">
            <wp:posOffset>563880</wp:posOffset>
          </wp:positionV>
          <wp:extent cx="1697355" cy="420243"/>
          <wp:effectExtent l="0" t="0" r="0" b="0"/>
          <wp:wrapSquare wrapText="bothSides"/>
          <wp:docPr id="5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7355" cy="420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5567045</wp:posOffset>
          </wp:positionH>
          <wp:positionV relativeFrom="page">
            <wp:posOffset>449555</wp:posOffset>
          </wp:positionV>
          <wp:extent cx="695325" cy="649884"/>
          <wp:effectExtent l="0" t="0" r="0" b="0"/>
          <wp:wrapSquare wrapText="bothSides"/>
          <wp:docPr id="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95325" cy="64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0"/>
      </w:rPr>
      <w:t xml:space="preserve"> </w:t>
    </w:r>
    <w:r>
      <w:t xml:space="preserve"> </w:t>
    </w:r>
    <w:r>
      <w:tab/>
    </w:r>
  </w:p>
  <w:p w:rsidR="00FA492C" w:rsidRDefault="003700F9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707" name="Group 4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6D5839C" id="Group 4707" o:spid="_x0000_s1026" style="position:absolute;margin-left:0;margin-top:0;width:0;height:0;z-index:-25164697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HDTwEAAK4CAAAOAAAAZHJzL2Uyb0RvYy54bWycUstOwzAQvCPxD5bv1EmFKIq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Kaij6tsRYnlBreUGpOE&#10;oEGDbwus24L/8Ds4A+0pmzSPCsx0ohoyJmuPs7VyjEQgmFMiEM1PhosOt/KnVnQv/1Sz3wZsmmNu&#10;mzI0pS6x4LzAyfXLHO+X36z+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CTmHD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E58"/>
    <w:multiLevelType w:val="hybridMultilevel"/>
    <w:tmpl w:val="DCB6B93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6226CF"/>
    <w:multiLevelType w:val="hybridMultilevel"/>
    <w:tmpl w:val="0F687B4E"/>
    <w:lvl w:ilvl="0" w:tplc="C8B09CF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CC3C6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0CA4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0A82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E4FE40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D49574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49BCA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6A44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7E90CE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7608F3"/>
    <w:multiLevelType w:val="hybridMultilevel"/>
    <w:tmpl w:val="14208D8C"/>
    <w:lvl w:ilvl="0" w:tplc="BC7A084E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6CB332">
      <w:start w:val="1"/>
      <w:numFmt w:val="lowerLetter"/>
      <w:lvlText w:val="%2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E9C9E">
      <w:start w:val="1"/>
      <w:numFmt w:val="lowerRoman"/>
      <w:lvlText w:val="%3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CFAC2">
      <w:start w:val="1"/>
      <w:numFmt w:val="decimal"/>
      <w:lvlText w:val="%4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6DC18">
      <w:start w:val="1"/>
      <w:numFmt w:val="lowerLetter"/>
      <w:lvlText w:val="%5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AC445C">
      <w:start w:val="1"/>
      <w:numFmt w:val="lowerRoman"/>
      <w:lvlText w:val="%6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8932A">
      <w:start w:val="1"/>
      <w:numFmt w:val="decimal"/>
      <w:lvlText w:val="%7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EC4AC">
      <w:start w:val="1"/>
      <w:numFmt w:val="lowerLetter"/>
      <w:lvlText w:val="%8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3617A6">
      <w:start w:val="1"/>
      <w:numFmt w:val="lowerRoman"/>
      <w:lvlText w:val="%9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3D6836"/>
    <w:multiLevelType w:val="hybridMultilevel"/>
    <w:tmpl w:val="37DEC5F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2D3E06"/>
    <w:multiLevelType w:val="multilevel"/>
    <w:tmpl w:val="37F645A8"/>
    <w:lvl w:ilvl="0">
      <w:start w:val="6"/>
      <w:numFmt w:val="decimal"/>
      <w:lvlText w:val="%1"/>
      <w:lvlJc w:val="left"/>
      <w:pPr>
        <w:ind w:left="168"/>
      </w:pPr>
      <w:rPr>
        <w:rFonts w:ascii="Arial" w:eastAsia="Arial" w:hAnsi="Arial" w:cs="Arial"/>
        <w:b/>
        <w:bCs/>
        <w:i w:val="0"/>
        <w:strike w:val="0"/>
        <w:dstrike w:val="0"/>
        <w:color w:val="0070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Restart w:val="0"/>
      <w:lvlText w:val="%3)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5120AD"/>
    <w:multiLevelType w:val="multilevel"/>
    <w:tmpl w:val="8E9432F4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CE3A95"/>
    <w:multiLevelType w:val="hybridMultilevel"/>
    <w:tmpl w:val="2E32A484"/>
    <w:lvl w:ilvl="0" w:tplc="CB086FB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215C4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685C8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B41D6A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94C7E4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600918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FE5512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620BA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81720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/>
        <w:bCs/>
        <w:i w:val="0"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4F2541"/>
    <w:multiLevelType w:val="hybridMultilevel"/>
    <w:tmpl w:val="CCC41124"/>
    <w:lvl w:ilvl="0" w:tplc="19D66F5C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2020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CDA7A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2020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C1F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2020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03C4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2020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6309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2020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F22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2020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834D0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2020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4F754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2020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CC7D9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2020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FF0E87"/>
    <w:multiLevelType w:val="hybridMultilevel"/>
    <w:tmpl w:val="F47A8802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68E97A3F"/>
    <w:multiLevelType w:val="hybridMultilevel"/>
    <w:tmpl w:val="4DA29A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81104A"/>
    <w:multiLevelType w:val="multilevel"/>
    <w:tmpl w:val="51E6695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2C"/>
    <w:rsid w:val="00341937"/>
    <w:rsid w:val="003700F9"/>
    <w:rsid w:val="005164C6"/>
    <w:rsid w:val="00550A31"/>
    <w:rsid w:val="00623F00"/>
    <w:rsid w:val="00676410"/>
    <w:rsid w:val="006A752E"/>
    <w:rsid w:val="00825D7A"/>
    <w:rsid w:val="0084555F"/>
    <w:rsid w:val="009604FB"/>
    <w:rsid w:val="009910C4"/>
    <w:rsid w:val="00A322A3"/>
    <w:rsid w:val="00AE62B0"/>
    <w:rsid w:val="00B035E5"/>
    <w:rsid w:val="00DF534D"/>
    <w:rsid w:val="00E22412"/>
    <w:rsid w:val="00ED426F"/>
    <w:rsid w:val="00FA492C"/>
    <w:rsid w:val="00F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CF082-428D-4345-B1EF-D958F0FF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7" w:lineRule="auto"/>
      <w:ind w:left="10" w:right="1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7"/>
      </w:numPr>
      <w:spacing w:after="0"/>
      <w:ind w:left="10" w:hanging="10"/>
      <w:outlineLvl w:val="0"/>
    </w:pPr>
    <w:rPr>
      <w:rFonts w:ascii="Arial" w:eastAsia="Arial" w:hAnsi="Arial" w:cs="Arial"/>
      <w:b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4F81BD"/>
      <w:sz w:val="22"/>
    </w:rPr>
  </w:style>
  <w:style w:type="paragraph" w:styleId="Rodap">
    <w:name w:val="footer"/>
    <w:basedOn w:val="Normal"/>
    <w:link w:val="RodapChar"/>
    <w:uiPriority w:val="99"/>
    <w:unhideWhenUsed/>
    <w:rsid w:val="00623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F00"/>
    <w:rPr>
      <w:rFonts w:ascii="Arial" w:eastAsia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623F00"/>
    <w:rPr>
      <w:color w:val="0000FF"/>
      <w:u w:val="single"/>
    </w:rPr>
  </w:style>
  <w:style w:type="character" w:customStyle="1" w:styleId="citation-83">
    <w:name w:val="citation-83"/>
    <w:basedOn w:val="Fontepargpadro"/>
    <w:rsid w:val="00B035E5"/>
  </w:style>
  <w:style w:type="character" w:customStyle="1" w:styleId="citation-82">
    <w:name w:val="citation-82"/>
    <w:basedOn w:val="Fontepargpadro"/>
    <w:rsid w:val="00B035E5"/>
  </w:style>
  <w:style w:type="character" w:customStyle="1" w:styleId="citation-81">
    <w:name w:val="citation-81"/>
    <w:basedOn w:val="Fontepargpadro"/>
    <w:rsid w:val="00B035E5"/>
  </w:style>
  <w:style w:type="character" w:customStyle="1" w:styleId="citation-38">
    <w:name w:val="citation-38"/>
    <w:basedOn w:val="Fontepargpadro"/>
    <w:rsid w:val="00B035E5"/>
  </w:style>
  <w:style w:type="character" w:customStyle="1" w:styleId="citation-37">
    <w:name w:val="citation-37"/>
    <w:basedOn w:val="Fontepargpadro"/>
    <w:rsid w:val="00B035E5"/>
  </w:style>
  <w:style w:type="character" w:customStyle="1" w:styleId="citation-36">
    <w:name w:val="citation-36"/>
    <w:basedOn w:val="Fontepargpadro"/>
    <w:rsid w:val="00B035E5"/>
  </w:style>
  <w:style w:type="character" w:customStyle="1" w:styleId="citation-35">
    <w:name w:val="citation-35"/>
    <w:basedOn w:val="Fontepargpadro"/>
    <w:rsid w:val="00B035E5"/>
  </w:style>
  <w:style w:type="paragraph" w:styleId="NormalWeb">
    <w:name w:val="Normal (Web)"/>
    <w:basedOn w:val="Normal"/>
    <w:uiPriority w:val="99"/>
    <w:semiHidden/>
    <w:unhideWhenUsed/>
    <w:rsid w:val="0084555F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itation-33">
    <w:name w:val="citation-33"/>
    <w:basedOn w:val="Fontepargpadro"/>
    <w:rsid w:val="0084555F"/>
  </w:style>
  <w:style w:type="character" w:customStyle="1" w:styleId="citation-32">
    <w:name w:val="citation-32"/>
    <w:basedOn w:val="Fontepargpadro"/>
    <w:rsid w:val="0084555F"/>
  </w:style>
  <w:style w:type="character" w:customStyle="1" w:styleId="citation-31">
    <w:name w:val="citation-31"/>
    <w:basedOn w:val="Fontepargpadro"/>
    <w:rsid w:val="0084555F"/>
  </w:style>
  <w:style w:type="character" w:customStyle="1" w:styleId="citation-30">
    <w:name w:val="citation-30"/>
    <w:basedOn w:val="Fontepargpadro"/>
    <w:rsid w:val="0084555F"/>
  </w:style>
  <w:style w:type="character" w:customStyle="1" w:styleId="citation-29">
    <w:name w:val="citation-29"/>
    <w:basedOn w:val="Fontepargpadro"/>
    <w:rsid w:val="0084555F"/>
  </w:style>
  <w:style w:type="paragraph" w:styleId="PargrafodaLista">
    <w:name w:val="List Paragraph"/>
    <w:basedOn w:val="Normal"/>
    <w:uiPriority w:val="34"/>
    <w:qFormat/>
    <w:rsid w:val="0084555F"/>
    <w:pPr>
      <w:ind w:left="720"/>
      <w:contextualSpacing/>
    </w:pPr>
  </w:style>
  <w:style w:type="character" w:customStyle="1" w:styleId="citation-60">
    <w:name w:val="citation-60"/>
    <w:basedOn w:val="Fontepargpadro"/>
    <w:rsid w:val="00AE62B0"/>
  </w:style>
  <w:style w:type="character" w:customStyle="1" w:styleId="citation-59">
    <w:name w:val="citation-59"/>
    <w:basedOn w:val="Fontepargpadro"/>
    <w:rsid w:val="00AE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ap.org.br/pt/editais/108/chamada-nexbio-amazonia-2026" TargetMode="External"/><Relationship Id="rId13" Type="http://schemas.openxmlformats.org/officeDocument/2006/relationships/hyperlink" Target="http://www.fappr.pr.gov.br/Pagina/Atos-Notas-e-Comunicados" TargetMode="External"/><Relationship Id="rId18" Type="http://schemas.openxmlformats.org/officeDocument/2006/relationships/hyperlink" Target="https://iaraucaria.pr.gov.br/" TargetMode="External"/><Relationship Id="rId26" Type="http://schemas.openxmlformats.org/officeDocument/2006/relationships/hyperlink" Target="https://erc.europa.eu/manage-your-project/set-and-develop-your-te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araucaria.pr.gov.br/" TargetMode="External"/><Relationship Id="rId7" Type="http://schemas.openxmlformats.org/officeDocument/2006/relationships/hyperlink" Target="https://latinamerica.unisg.ch/en/leading-house/" TargetMode="External"/><Relationship Id="rId12" Type="http://schemas.openxmlformats.org/officeDocument/2006/relationships/hyperlink" Target="http://www.fappr.pr.gov.br/Pagina/Atos-Notas-e-Comunicados" TargetMode="External"/><Relationship Id="rId17" Type="http://schemas.openxmlformats.org/officeDocument/2006/relationships/hyperlink" Target="https://iaraucaria.pr.gov.br/" TargetMode="External"/><Relationship Id="rId25" Type="http://schemas.openxmlformats.org/officeDocument/2006/relationships/hyperlink" Target="https://www.fappr.pr.gov.br/sites/fundacao-araucaria/arquivos_restritos/files/documento/2024-%2003/atodefa0342024novatabeladediariasparaconvenios.pdf_-_atodefa0342024novatabelade%20diariasparaconvenio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araucaria.pr.gov.br/" TargetMode="External"/><Relationship Id="rId20" Type="http://schemas.openxmlformats.org/officeDocument/2006/relationships/hyperlink" Target="https://iaraucaria.pr.gov.br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ppr.pr.gov.br/Pagina/Atos-Notas-e-Comunicados" TargetMode="External"/><Relationship Id="rId24" Type="http://schemas.openxmlformats.org/officeDocument/2006/relationships/hyperlink" Target="https://iaraucaria.pr.gov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ppr.pr.gov.br/Pagina/Atos-Notas-e-Comunicados" TargetMode="External"/><Relationship Id="rId23" Type="http://schemas.openxmlformats.org/officeDocument/2006/relationships/hyperlink" Target="https://iaraucaria.pr.gov.br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fappr.pr.gov.br/Pagina/Atos-Notas-e-Comunicados" TargetMode="External"/><Relationship Id="rId19" Type="http://schemas.openxmlformats.org/officeDocument/2006/relationships/hyperlink" Target="https://iaraucaria.pr.gov.br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appr.pr.gov.br/Pagina/Atos-Notas-e-Comunicados" TargetMode="External"/><Relationship Id="rId14" Type="http://schemas.openxmlformats.org/officeDocument/2006/relationships/hyperlink" Target="http://www.fappr.pr.gov.br/Pagina/Atos-Notas-e-Comunicados" TargetMode="External"/><Relationship Id="rId22" Type="http://schemas.openxmlformats.org/officeDocument/2006/relationships/hyperlink" Target="https://iaraucaria.pr.gov.br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1394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Nilceu Jacob Deitos</dc:creator>
  <cp:keywords/>
  <cp:lastModifiedBy>Colaborador</cp:lastModifiedBy>
  <cp:revision>12</cp:revision>
  <dcterms:created xsi:type="dcterms:W3CDTF">2026-04-13T15:36:00Z</dcterms:created>
  <dcterms:modified xsi:type="dcterms:W3CDTF">2026-04-30T19:49:00Z</dcterms:modified>
</cp:coreProperties>
</file>