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" w:lineRule="atLeast"/>
        <w:jc w:val="both"/>
        <w:rPr>
          <w:rFonts w:cs="Calibri"/>
        </w:rPr>
      </w:pPr>
      <w:bookmarkStart w:id="1" w:name="_GoBack"/>
      <w:bookmarkEnd w:id="1"/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Chamada Pública 03/2021 </w:t>
      </w: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Programa Institucional Pró-Desenvolvimento dos PPGs das IES Estaduais  </w:t>
      </w:r>
    </w:p>
    <w:p/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Anexo I </w:t>
      </w:r>
      <w:bookmarkStart w:id="0" w:name="_Hlk66794403"/>
      <w:r>
        <w:rPr>
          <w:sz w:val="32"/>
          <w:szCs w:val="32"/>
        </w:rPr>
        <w:t>- Metodologia de cálculo  Para definição dos valores das cotas institucionais</w:t>
      </w:r>
    </w:p>
    <w:bookmarkEnd w:id="0"/>
    <w:p/>
    <w:p/>
    <w:p>
      <w:pPr>
        <w:spacing w:line="288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valores das cotas institucionais serão estimados de acordo com a seguinte metodologia:</w:t>
      </w:r>
    </w:p>
    <w:p>
      <w:pPr>
        <w:pStyle w:val="16"/>
        <w:numPr>
          <w:ilvl w:val="0"/>
          <w:numId w:val="1"/>
        </w:numPr>
        <w:spacing w:before="240" w:after="80" w:line="288" w:lineRule="auto"/>
        <w:ind w:left="425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40% dos recursos serão divididos linearmente entre as instituições habilitadas;</w:t>
      </w:r>
    </w:p>
    <w:p>
      <w:pPr>
        <w:pStyle w:val="16"/>
        <w:numPr>
          <w:ilvl w:val="0"/>
          <w:numId w:val="1"/>
        </w:numPr>
        <w:spacing w:before="120" w:after="80" w:line="288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60% dos recursos serão divididos entre as instituições em função da quantidade de aluno equivalente da pós-graduação stricto sensu, conforme segue:</w:t>
      </w:r>
    </w:p>
    <w:p>
      <w:pPr>
        <w:spacing w:before="240" w:line="288" w:lineRule="auto"/>
        <w:ind w:left="850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b.1) O total de alunos equivalentes dos programas de pós-graduação da Instituição de Estadual de Ensino Superior (</w:t>
      </w:r>
      <m:oMath>
        <m:r>
          <m:rPr/>
          <w:rPr>
            <w:rFonts w:ascii="Cambria Math" w:hAnsi="Cambria Math" w:cstheme="minorHAnsi"/>
          </w:rPr>
          <m:t>I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/>
              <w:rPr>
                <w:rFonts w:ascii="Cambria Math" w:hAnsi="Cambria Math" w:cstheme="minorHAnsi"/>
              </w:rPr>
              <m:t>EES</m:t>
            </m:r>
            <m:ctrlPr>
              <w:rPr>
                <w:rFonts w:ascii="Cambria Math" w:hAnsi="Cambria Math" w:cstheme="minorHAnsi"/>
              </w:rPr>
            </m:ctrlPr>
          </m:e>
          <m:sup>
            <m:r>
              <m:rPr/>
              <w:rPr>
                <w:rFonts w:ascii="Cambria Math" w:hAnsi="Cambria Math" w:cstheme="minorHAnsi"/>
              </w:rPr>
              <m:t>j</m:t>
            </m:r>
            <m:ctrlPr>
              <w:rPr>
                <w:rFonts w:ascii="Cambria Math" w:hAnsi="Cambria Math" w:cstheme="minorHAnsi"/>
              </w:rPr>
            </m:ctrlPr>
          </m:sup>
        </m:sSup>
      </m:oMath>
      <w:r>
        <w:rPr>
          <w:rFonts w:asciiTheme="minorHAnsi" w:hAnsiTheme="minorHAnsi" w:cstheme="minorHAnsi"/>
        </w:rPr>
        <w:t xml:space="preserve">), representado por </w:t>
      </w:r>
      <m:oMath>
        <m:r>
          <m:rPr/>
          <w:rPr>
            <w:rFonts w:ascii="Cambria Math" w:hAnsi="Cambria Math" w:cstheme="minorHAnsi"/>
          </w:rPr>
          <m:t>TAE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/>
              <w:rPr>
                <w:rFonts w:ascii="Cambria Math" w:hAnsi="Cambria Math" w:cstheme="minorHAnsi"/>
              </w:rPr>
              <m:t>PG</m:t>
            </m:r>
            <m:ctrlPr>
              <w:rPr>
                <w:rFonts w:ascii="Cambria Math" w:hAnsi="Cambria Math" w:cstheme="minorHAnsi"/>
              </w:rPr>
            </m:ctrlPr>
          </m:e>
          <m:sup>
            <m:r>
              <m:rPr/>
              <w:rPr>
                <w:rFonts w:ascii="Cambria Math" w:hAnsi="Cambria Math" w:cstheme="minorHAnsi"/>
              </w:rPr>
              <m:t>j</m:t>
            </m:r>
            <m:ctrlPr>
              <w:rPr>
                <w:rFonts w:ascii="Cambria Math" w:hAnsi="Cambria Math" w:cstheme="minorHAnsi"/>
              </w:rPr>
            </m:ctrlPr>
          </m:sup>
        </m:sSup>
      </m:oMath>
      <w:r>
        <w:rPr>
          <w:rFonts w:asciiTheme="minorHAnsi" w:hAnsiTheme="minorHAnsi" w:cstheme="minorHAnsi"/>
        </w:rPr>
        <w:t>, será obtido através da seguinte equação:</w:t>
      </w:r>
    </w:p>
    <w:p>
      <w:pPr>
        <w:spacing w:before="240" w:after="240" w:line="360" w:lineRule="auto"/>
        <w:ind w:left="2268"/>
        <w:contextualSpacing/>
        <w:rPr>
          <w:rFonts w:ascii="Cambria Math" w:hAnsi="Cambria Math" w:cstheme="minorHAnsi"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 w:cstheme="minorHAnsi"/>
            </w:rPr>
            <m:t>TAEP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m:rPr/>
                <w:rPr>
                  <w:rFonts w:ascii="Cambria Math" w:hAnsi="Cambria Math" w:cstheme="minorHAnsi"/>
                </w:rPr>
                <m:t>G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m:rPr/>
                <w:rPr>
                  <w:rFonts w:ascii="Cambria Math" w:hAnsi="Cambria Math" w:cstheme="minorHAnsi"/>
                </w:rPr>
                <m:t>j</m:t>
              </m:r>
              <m:ctrlPr>
                <w:rPr>
                  <w:rFonts w:ascii="Cambria Math" w:hAnsi="Cambria Math" w:cstheme="minorHAnsi"/>
                  <w:i/>
                </w:rPr>
              </m:ctrlPr>
            </m:sup>
          </m:sSup>
          <m:r>
            <m:rPr/>
            <w:rPr>
              <w:rFonts w:ascii="Cambria Math" w:hAnsi="Cambria Math" w:cstheme="minorHAnsi"/>
            </w:rPr>
            <m:t>=</m:t>
          </m:r>
          <m:nary>
            <m:naryPr>
              <m:chr m:val="∑"/>
              <m:grow m:val="1"/>
              <m:limLoc m:val="undOvr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m:rPr/>
                <w:rPr>
                  <w:rFonts w:ascii="Cambria Math" w:hAnsi="Cambria Math" w:cstheme="minorHAnsi"/>
                </w:rPr>
                <m:t>i=1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m:rPr/>
                <w:rPr>
                  <w:rFonts w:ascii="Cambria Math" w:hAnsi="Cambria Math" w:cstheme="minorHAnsi"/>
                </w:rPr>
                <m:t>n</m:t>
              </m:r>
              <m:ctrlPr>
                <w:rPr>
                  <w:rFonts w:ascii="Cambria Math" w:hAnsi="Cambria Math" w:cstheme="minorHAnsi"/>
                  <w:i/>
                </w:rPr>
              </m:ctrlPr>
            </m:sup>
            <m:e>
              <m:r>
                <m:rPr/>
                <w:rPr>
                  <w:rFonts w:ascii="Cambria Math" w:hAnsi="Cambria Math" w:cstheme="minorHAnsi"/>
                </w:rPr>
                <m:t>((NAM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 w:cstheme="minorHAnsi"/>
                    </w:rPr>
                    <m:t>M</m:t>
                  </m:r>
                  <m:ctrlPr>
                    <w:rPr>
                      <w:rFonts w:ascii="Cambria Math" w:hAnsi="Cambria Math" w:cstheme="minorHAnsi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 w:cstheme="minorHAnsi"/>
                    </w:rPr>
                    <m:t>i</m:t>
                  </m:r>
                  <m:ctrlPr>
                    <w:rPr>
                      <w:rFonts w:ascii="Cambria Math" w:hAnsi="Cambria Math" w:cstheme="minorHAnsi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 w:cstheme="minorHAnsi"/>
                </w:rPr>
                <m:t>×1)+(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 w:cstheme="minorHAnsi"/>
                    </w:rPr>
                    <m:t>NAMD</m:t>
                  </m:r>
                  <m:ctrlPr>
                    <w:rPr>
                      <w:rFonts w:ascii="Cambria Math" w:hAnsi="Cambria Math" w:cstheme="minorHAnsi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 w:cstheme="minorHAnsi"/>
                    </w:rPr>
                    <m:t>i</m:t>
                  </m:r>
                  <m:ctrlPr>
                    <w:rPr>
                      <w:rFonts w:ascii="Cambria Math" w:hAnsi="Cambria Math" w:cstheme="minorHAnsi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 w:cstheme="minorHAnsi"/>
                </w:rPr>
                <m:t>×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</m:nary>
          <m:r>
            <m:rPr/>
            <w:rPr>
              <w:rFonts w:ascii="Cambria Math" w:hAnsi="Cambria Math" w:cstheme="minorHAnsi"/>
            </w:rPr>
            <m:t>1,5))×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m:rPr/>
                <w:rPr>
                  <w:rFonts w:ascii="Cambria Math" w:hAnsi="Cambria Math" w:cstheme="minorHAnsi"/>
                </w:rPr>
                <m:t>PAC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m:rPr/>
                <w:rPr>
                  <w:rFonts w:ascii="Cambria Math" w:hAnsi="Cambria Math" w:cstheme="minorHAnsi"/>
                </w:rPr>
                <m:t>i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</m:sSub>
        </m:oMath>
      </m:oMathPara>
    </w:p>
    <w:p>
      <w:pPr>
        <w:spacing w:after="0"/>
        <w:ind w:left="993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Onde:</w:t>
      </w:r>
    </w:p>
    <w:p>
      <w:pPr>
        <w:numPr>
          <w:ilvl w:val="0"/>
          <w:numId w:val="2"/>
        </w:numPr>
        <w:tabs>
          <w:tab w:val="clear" w:pos="284"/>
        </w:tabs>
        <w:suppressAutoHyphens w:val="0"/>
        <w:spacing w:before="0" w:after="0" w:line="240" w:lineRule="auto"/>
        <w:ind w:left="1134" w:hanging="28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j</w:t>
      </w:r>
      <w:r>
        <w:rPr>
          <w:rFonts w:asciiTheme="minorHAnsi" w:hAnsiTheme="minorHAnsi" w:cstheme="minorHAnsi"/>
        </w:rPr>
        <w:t xml:space="preserve"> = universidade.</w:t>
      </w:r>
    </w:p>
    <w:p>
      <w:pPr>
        <w:numPr>
          <w:ilvl w:val="0"/>
          <w:numId w:val="2"/>
        </w:numPr>
        <w:tabs>
          <w:tab w:val="clear" w:pos="284"/>
        </w:tabs>
        <w:suppressAutoHyphens w:val="0"/>
        <w:spacing w:before="0" w:after="0" w:line="240" w:lineRule="auto"/>
        <w:ind w:left="1134" w:hanging="283"/>
        <w:contextualSpacing/>
        <w:rPr>
          <w:rFonts w:asciiTheme="minorHAnsi" w:hAnsiTheme="minorHAnsi" w:cstheme="minorHAnsi"/>
        </w:rPr>
      </w:pPr>
      <m:oMath>
        <m:r>
          <m:rPr/>
          <w:rPr>
            <w:rFonts w:ascii="Cambria Math" w:hAnsi="Cambria Math" w:eastAsiaTheme="minorEastAsia" w:cstheme="minorHAnsi"/>
          </w:rPr>
          <m:t>n</m:t>
        </m:r>
      </m:oMath>
      <w:r>
        <w:rPr>
          <w:rFonts w:asciiTheme="minorHAnsi" w:hAnsiTheme="minorHAnsi" w:eastAsiaTheme="minorEastAsia" w:cstheme="minorHAnsi"/>
        </w:rPr>
        <w:t xml:space="preserve">= total de programas de pós-graduação </w:t>
      </w:r>
      <w:r>
        <w:rPr>
          <w:rFonts w:asciiTheme="minorHAnsi" w:hAnsiTheme="minorHAnsi" w:eastAsiaTheme="minorEastAsia" w:cstheme="minorHAnsi"/>
          <w:i/>
          <w:iCs/>
        </w:rPr>
        <w:t>stricto sensu</w:t>
      </w:r>
      <w:r>
        <w:rPr>
          <w:rFonts w:asciiTheme="minorHAnsi" w:hAnsiTheme="minorHAnsi" w:eastAsiaTheme="minorEastAsia" w:cstheme="minorHAnsi"/>
        </w:rPr>
        <w:t xml:space="preserve"> da </w:t>
      </w:r>
      <m:oMath>
        <m:r>
          <m:rPr/>
          <w:rPr>
            <w:rFonts w:ascii="Cambria Math" w:hAnsi="Cambria Math" w:cstheme="minorHAnsi"/>
          </w:rPr>
          <m:t>I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/>
              <w:rPr>
                <w:rFonts w:ascii="Cambria Math" w:hAnsi="Cambria Math" w:cstheme="minorHAnsi"/>
              </w:rPr>
              <m:t>EES</m:t>
            </m:r>
            <m:ctrlPr>
              <w:rPr>
                <w:rFonts w:ascii="Cambria Math" w:hAnsi="Cambria Math" w:cstheme="minorHAnsi"/>
                <w:i/>
              </w:rPr>
            </m:ctrlPr>
          </m:e>
          <m:sup>
            <m:r>
              <m:rPr/>
              <w:rPr>
                <w:rFonts w:ascii="Cambria Math" w:hAnsi="Cambria Math" w:cstheme="minorHAnsi"/>
              </w:rPr>
              <m:t>j</m:t>
            </m:r>
            <m:ctrlPr>
              <w:rPr>
                <w:rFonts w:ascii="Cambria Math" w:hAnsi="Cambria Math" w:cstheme="minorHAnsi"/>
                <w:i/>
              </w:rPr>
            </m:ctrlPr>
          </m:sup>
        </m:sSup>
      </m:oMath>
      <w:r>
        <w:rPr>
          <w:rFonts w:asciiTheme="minorHAnsi" w:hAnsiTheme="minorHAnsi" w:eastAsiaTheme="minorEastAsia" w:cstheme="minorHAnsi"/>
        </w:rPr>
        <w:t>;</w:t>
      </w:r>
    </w:p>
    <w:p>
      <w:pPr>
        <w:numPr>
          <w:ilvl w:val="0"/>
          <w:numId w:val="2"/>
        </w:numPr>
        <w:tabs>
          <w:tab w:val="clear" w:pos="284"/>
        </w:tabs>
        <w:suppressAutoHyphens w:val="0"/>
        <w:spacing w:before="0" w:after="0" w:line="240" w:lineRule="auto"/>
        <w:ind w:left="1134" w:hanging="283"/>
        <w:contextualSpacing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m:rPr/>
              <w:rPr>
                <w:rFonts w:ascii="Cambria Math" w:hAnsi="Cambria Math" w:cstheme="minorHAnsi"/>
              </w:rPr>
              <m:t>NAMM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m:rPr/>
              <w:rPr>
                <w:rFonts w:ascii="Cambria Math" w:hAnsi="Cambria Math" w:cstheme="minorHAnsi"/>
              </w:rPr>
              <m:t>i</m:t>
            </m:r>
            <m:ctrlPr>
              <w:rPr>
                <w:rFonts w:ascii="Cambria Math" w:hAnsi="Cambria Math" w:cstheme="minorHAnsi"/>
                <w:i/>
              </w:rPr>
            </m:ctrlPr>
          </m:sub>
        </m:sSub>
      </m:oMath>
      <w:r>
        <w:rPr>
          <w:rFonts w:asciiTheme="minorHAnsi" w:hAnsiTheme="minorHAnsi" w:cstheme="minorHAnsi"/>
        </w:rPr>
        <w:t xml:space="preserve">= número de alunos matriculados no curso de mestrado </w:t>
      </w:r>
      <m:oMath>
        <m:r>
          <m:rPr/>
          <w:rPr>
            <w:rFonts w:ascii="Cambria Math" w:hAnsi="Cambria Math" w:eastAsiaTheme="minorEastAsia" w:cstheme="minorHAnsi"/>
          </w:rPr>
          <m:t>i</m:t>
        </m:r>
      </m:oMath>
      <w:r>
        <w:rPr>
          <w:rFonts w:asciiTheme="minorHAnsi" w:hAnsiTheme="minorHAnsi" w:cstheme="minorHAnsi"/>
        </w:rPr>
        <w:t xml:space="preserve">; </w:t>
      </w:r>
    </w:p>
    <w:p>
      <w:pPr>
        <w:numPr>
          <w:ilvl w:val="0"/>
          <w:numId w:val="2"/>
        </w:numPr>
        <w:tabs>
          <w:tab w:val="clear" w:pos="284"/>
        </w:tabs>
        <w:suppressAutoHyphens w:val="0"/>
        <w:spacing w:before="0" w:after="0" w:line="240" w:lineRule="auto"/>
        <w:ind w:left="1134" w:hanging="283"/>
        <w:contextualSpacing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m:rPr/>
              <w:rPr>
                <w:rFonts w:ascii="Cambria Math" w:hAnsi="Cambria Math" w:cstheme="minorHAnsi"/>
              </w:rPr>
              <m:t>NAMD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m:rPr/>
              <w:rPr>
                <w:rFonts w:ascii="Cambria Math" w:hAnsi="Cambria Math" w:cstheme="minorHAnsi"/>
              </w:rPr>
              <m:t>i</m:t>
            </m:r>
            <m:ctrlPr>
              <w:rPr>
                <w:rFonts w:ascii="Cambria Math" w:hAnsi="Cambria Math" w:cstheme="minorHAnsi"/>
                <w:i/>
              </w:rPr>
            </m:ctrlPr>
          </m:sub>
        </m:sSub>
      </m:oMath>
      <w:r>
        <w:rPr>
          <w:rFonts w:asciiTheme="minorHAnsi" w:hAnsiTheme="minorHAnsi" w:cstheme="minorHAnsi"/>
        </w:rPr>
        <w:t xml:space="preserve">= número de alunos matriculados no curso de doutorado </w:t>
      </w:r>
      <m:oMath>
        <m:r>
          <m:rPr/>
          <w:rPr>
            <w:rFonts w:ascii="Cambria Math" w:hAnsi="Cambria Math" w:eastAsiaTheme="minorEastAsia" w:cstheme="minorHAnsi"/>
          </w:rPr>
          <m:t>i</m:t>
        </m:r>
      </m:oMath>
      <w:r>
        <w:rPr>
          <w:rFonts w:asciiTheme="minorHAnsi" w:hAnsiTheme="minorHAnsi" w:cstheme="minorHAnsi"/>
        </w:rPr>
        <w:t xml:space="preserve">; </w:t>
      </w:r>
    </w:p>
    <w:p>
      <w:pPr>
        <w:numPr>
          <w:ilvl w:val="0"/>
          <w:numId w:val="2"/>
        </w:numPr>
        <w:tabs>
          <w:tab w:val="clear" w:pos="284"/>
        </w:tabs>
        <w:suppressAutoHyphens w:val="0"/>
        <w:spacing w:before="0" w:after="0" w:line="240" w:lineRule="auto"/>
        <w:ind w:left="1134" w:hanging="283"/>
        <w:contextualSpacing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m:rPr/>
              <w:rPr>
                <w:rFonts w:ascii="Cambria Math" w:hAnsi="Cambria Math" w:cstheme="minorHAnsi"/>
              </w:rPr>
              <m:t>PAC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m:rPr/>
              <w:rPr>
                <w:rFonts w:ascii="Cambria Math" w:hAnsi="Cambria Math" w:cstheme="minorHAnsi"/>
              </w:rPr>
              <m:t>i</m:t>
            </m:r>
            <m:ctrlPr>
              <w:rPr>
                <w:rFonts w:ascii="Cambria Math" w:hAnsi="Cambria Math" w:cstheme="minorHAnsi"/>
                <w:i/>
              </w:rPr>
            </m:ctrlPr>
          </m:sub>
        </m:sSub>
      </m:oMath>
      <w:r>
        <w:rPr>
          <w:rFonts w:asciiTheme="minorHAnsi" w:hAnsiTheme="minorHAnsi" w:eastAsiaTheme="minorEastAsia" w:cstheme="minorHAnsi"/>
        </w:rPr>
        <w:t xml:space="preserve">= peso da área de conhecimento do programa pós-graduação </w:t>
      </w:r>
      <w:r>
        <w:rPr>
          <w:rFonts w:asciiTheme="minorHAnsi" w:hAnsiTheme="minorHAnsi" w:eastAsiaTheme="minorEastAsia" w:cstheme="minorHAnsi"/>
          <w:i/>
          <w:iCs/>
        </w:rPr>
        <w:t>stricto sensu</w:t>
      </w:r>
      <m:oMath>
        <m:r>
          <m:rPr/>
          <w:rPr>
            <w:rFonts w:ascii="Cambria Math" w:hAnsi="Cambria Math" w:eastAsiaTheme="minorEastAsia" w:cstheme="minorHAnsi"/>
          </w:rPr>
          <m:t>i</m:t>
        </m:r>
      </m:oMath>
      <w:r>
        <w:rPr>
          <w:rFonts w:asciiTheme="minorHAnsi" w:hAnsiTheme="minorHAnsi" w:eastAsiaTheme="minorEastAsia" w:cstheme="minorHAnsi"/>
        </w:rPr>
        <w:t>;</w:t>
      </w:r>
    </w:p>
    <w:p>
      <w:pPr>
        <w:spacing w:line="24" w:lineRule="atLeast"/>
        <w:ind w:left="850" w:hanging="425"/>
        <w:rPr>
          <w:rFonts w:asciiTheme="minorHAnsi" w:hAnsiTheme="minorHAnsi" w:cstheme="minorHAnsi"/>
        </w:rPr>
      </w:pPr>
    </w:p>
    <w:p>
      <w:pPr>
        <w:spacing w:before="120" w:line="24" w:lineRule="atLeast"/>
        <w:ind w:left="850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b.2) Serão considerados os alunos matriculados nos programas de pós-graduação stricto sensu no ano de 2019 (Base Plataforma Sucupira) e programas que iniciaram as atividades no ano de 2020 (consulta às IEES).</w:t>
      </w:r>
    </w:p>
    <w:p>
      <w:pPr>
        <w:spacing w:before="120" w:line="288" w:lineRule="auto"/>
        <w:ind w:left="850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b.3) O total de alunos equivalentes de programa pós-graduação stricto sensu da chamada (</w:t>
      </w:r>
      <m:oMath>
        <m:r>
          <m:rPr/>
          <w:rPr>
            <w:rFonts w:ascii="Cambria Math" w:hAnsi="Cambria Math" w:cstheme="minorHAnsi"/>
          </w:rPr>
          <m:t>TAEPGC</m:t>
        </m:r>
      </m:oMath>
      <w:r>
        <w:rPr>
          <w:rFonts w:asciiTheme="minorHAnsi" w:hAnsiTheme="minorHAnsi" w:cstheme="minorHAnsi"/>
        </w:rPr>
        <w:t>) será obtido pela soma do total de alunos equivalentes dos programas de pós-graduação stricto sensu de cada universidade (</w:t>
      </w:r>
      <m:oMath>
        <m:r>
          <m:rPr/>
          <w:rPr>
            <w:rFonts w:ascii="Cambria Math" w:hAnsi="Cambria Math" w:cstheme="minorHAnsi"/>
          </w:rPr>
          <m:t>I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/>
              <w:rPr>
                <w:rFonts w:ascii="Cambria Math" w:hAnsi="Cambria Math" w:cstheme="minorHAnsi"/>
              </w:rPr>
              <m:t>EES</m:t>
            </m:r>
            <m:ctrlPr>
              <w:rPr>
                <w:rFonts w:ascii="Cambria Math" w:hAnsi="Cambria Math" w:cstheme="minorHAnsi"/>
              </w:rPr>
            </m:ctrlPr>
          </m:e>
          <m:sup>
            <m:r>
              <m:rPr/>
              <w:rPr>
                <w:rFonts w:ascii="Cambria Math" w:hAnsi="Cambria Math" w:cstheme="minorHAnsi"/>
              </w:rPr>
              <m:t>j</m:t>
            </m:r>
            <m:ctrlPr>
              <w:rPr>
                <w:rFonts w:ascii="Cambria Math" w:hAnsi="Cambria Math" w:cstheme="minorHAnsi"/>
              </w:rPr>
            </m:ctrlPr>
          </m:sup>
        </m:sSup>
      </m:oMath>
      <w:r>
        <w:rPr>
          <w:rFonts w:asciiTheme="minorHAnsi" w:hAnsiTheme="minorHAnsi" w:cstheme="minorHAnsi"/>
        </w:rPr>
        <w:t>), conforme a expressão:</w:t>
      </w:r>
    </w:p>
    <w:p>
      <w:pPr>
        <w:spacing w:before="240" w:after="240" w:line="360" w:lineRule="auto"/>
        <w:ind w:left="2268"/>
        <w:contextualSpacing/>
        <w:rPr>
          <w:rFonts w:ascii="Cambria Math" w:hAnsi="Cambria Math" w:cstheme="minorHAnsi"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 w:cstheme="minorHAnsi"/>
            </w:rPr>
            <m:t>TAEPGC=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m:rPr/>
                <w:rPr>
                  <w:rFonts w:ascii="Cambria Math" w:hAnsi="Cambria Math" w:cstheme="minorHAnsi"/>
                </w:rPr>
                <m:t>i=1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m:rPr/>
                <w:rPr>
                  <w:rFonts w:ascii="Cambria Math" w:hAnsi="Cambria Math" w:cstheme="minorHAnsi"/>
                </w:rPr>
                <m:t>k</m:t>
              </m:r>
              <m:ctrlPr>
                <w:rPr>
                  <w:rFonts w:ascii="Cambria Math" w:hAnsi="Cambria Math" w:cstheme="minorHAnsi"/>
                  <w:i/>
                </w:rPr>
              </m:ctrlPr>
            </m:sup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 w:cstheme="minorHAnsi"/>
                    </w:rPr>
                    <m:t>TAEPG</m:t>
                  </m:r>
                  <m:ctrlPr>
                    <w:rPr>
                      <w:rFonts w:ascii="Cambria Math" w:hAnsi="Cambria Math" w:cstheme="minorHAnsi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 w:cstheme="minorHAnsi"/>
                    </w:rPr>
                    <m:t>i</m:t>
                  </m:r>
                  <m:ctrlPr>
                    <w:rPr>
                      <w:rFonts w:ascii="Cambria Math" w:hAnsi="Cambria Math" w:cstheme="minorHAnsi"/>
                      <w:i/>
                    </w:rPr>
                  </m:ctrlPr>
                </m:sub>
                <m:sup>
                  <m:r>
                    <m:rPr/>
                    <w:rPr>
                      <w:rFonts w:ascii="Cambria Math" w:hAnsi="Cambria Math" w:cstheme="minorHAnsi"/>
                    </w:rPr>
                    <m:t>j</m:t>
                  </m:r>
                  <m:ctrlPr>
                    <w:rPr>
                      <w:rFonts w:ascii="Cambria Math" w:hAnsi="Cambria Math" w:cstheme="minorHAnsi"/>
                      <w:i/>
                    </w:rPr>
                  </m:ctrlPr>
                </m:sup>
              </m:sSubSup>
              <m:ctrlPr>
                <w:rPr>
                  <w:rFonts w:ascii="Cambria Math" w:hAnsi="Cambria Math" w:cstheme="minorHAnsi"/>
                  <w:i/>
                </w:rPr>
              </m:ctrlPr>
            </m:e>
          </m:nary>
        </m:oMath>
      </m:oMathPara>
    </w:p>
    <w:p>
      <w:pPr>
        <w:spacing w:after="0"/>
        <w:ind w:left="993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Onde:</w:t>
      </w:r>
    </w:p>
    <w:p>
      <w:pPr>
        <w:numPr>
          <w:ilvl w:val="0"/>
          <w:numId w:val="2"/>
        </w:numPr>
        <w:tabs>
          <w:tab w:val="clear" w:pos="284"/>
        </w:tabs>
        <w:suppressAutoHyphens w:val="0"/>
        <w:spacing w:before="0" w:after="0" w:line="240" w:lineRule="auto"/>
        <w:ind w:left="1134" w:hanging="28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k</w:t>
      </w:r>
      <w:r>
        <w:rPr>
          <w:rFonts w:asciiTheme="minorHAnsi" w:hAnsiTheme="minorHAnsi" w:cstheme="minorHAnsi"/>
        </w:rPr>
        <w:t xml:space="preserve"> = número de universidade habilitadas.</w:t>
      </w:r>
    </w:p>
    <w:p>
      <w:pPr>
        <w:ind w:left="993"/>
        <w:rPr>
          <w:rFonts w:asciiTheme="minorHAnsi" w:hAnsiTheme="minorHAnsi" w:cstheme="minorHAnsi"/>
        </w:rPr>
      </w:pPr>
    </w:p>
    <w:p>
      <w:pPr>
        <w:spacing w:line="288" w:lineRule="auto"/>
        <w:ind w:left="850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b.4) O valor de cada aluno equivalente de programa pós-graduação stricto sensu (</w:t>
      </w:r>
      <m:oMath>
        <m:r>
          <m:rPr/>
          <w:rPr>
            <w:rFonts w:ascii="Cambria Math" w:hAnsi="Cambria Math" w:cstheme="minorHAnsi"/>
          </w:rPr>
          <m:t>VAEPG</m:t>
        </m:r>
      </m:oMath>
      <w:r>
        <w:rPr>
          <w:rFonts w:asciiTheme="minorHAnsi" w:hAnsiTheme="minorHAnsi" w:cstheme="minorHAnsi"/>
        </w:rPr>
        <w:t>), será obtido pela seguinte a expressão:</w:t>
      </w:r>
    </w:p>
    <w:p>
      <w:pPr>
        <w:spacing w:before="240" w:after="240" w:line="360" w:lineRule="auto"/>
        <w:ind w:left="2268"/>
        <w:contextualSpacing/>
        <w:rPr>
          <w:rFonts w:ascii="Cambria Math" w:hAnsi="Cambria Math" w:cstheme="minorHAnsi"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 w:cstheme="minorHAnsi"/>
            </w:rPr>
            <m:t xml:space="preserve">VAEPG=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/>
                <w:rPr>
                  <w:rFonts w:ascii="Cambria Math" w:hAnsi="Cambria Math" w:cstheme="minorHAnsi"/>
                </w:rPr>
                <m:t>VDC</m:t>
              </m:r>
              <m:ctrlPr>
                <w:rPr>
                  <w:rFonts w:ascii="Cambria Math" w:hAnsi="Cambria Math" w:cstheme="minorHAnsi"/>
                  <w:i/>
                </w:rPr>
              </m:ctrlPr>
            </m:num>
            <m:den>
              <m:r>
                <m:rPr/>
                <w:rPr>
                  <w:rFonts w:ascii="Cambria Math" w:hAnsi="Cambria Math" w:cstheme="minorHAnsi"/>
                </w:rPr>
                <m:t>TAEPGC</m:t>
              </m:r>
              <m:ctrlPr>
                <w:rPr>
                  <w:rFonts w:ascii="Cambria Math" w:hAnsi="Cambria Math" w:cstheme="minorHAnsi"/>
                  <w:i/>
                </w:rPr>
              </m:ctrlPr>
            </m:den>
          </m:f>
        </m:oMath>
      </m:oMathPara>
    </w:p>
    <w:p>
      <w:pPr>
        <w:spacing w:after="0"/>
        <w:ind w:left="993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Onde:</w:t>
      </w:r>
    </w:p>
    <w:p>
      <w:pPr>
        <w:numPr>
          <w:ilvl w:val="0"/>
          <w:numId w:val="2"/>
        </w:numPr>
        <w:tabs>
          <w:tab w:val="clear" w:pos="284"/>
        </w:tabs>
        <w:suppressAutoHyphens w:val="0"/>
        <w:spacing w:before="0" w:after="0" w:line="240" w:lineRule="auto"/>
        <w:ind w:left="1134" w:hanging="294"/>
        <w:contextualSpacing/>
        <w:rPr>
          <w:rFonts w:asciiTheme="minorHAnsi" w:hAnsiTheme="minorHAnsi" w:cstheme="minorHAnsi"/>
        </w:rPr>
      </w:pPr>
      <m:oMath>
        <m:r>
          <m:rPr/>
          <w:rPr>
            <w:rFonts w:ascii="Cambria Math" w:hAnsi="Cambria Math" w:cstheme="minorHAnsi"/>
          </w:rPr>
          <m:t>VDC</m:t>
        </m:r>
      </m:oMath>
      <w:r>
        <w:rPr>
          <w:rFonts w:asciiTheme="minorHAnsi" w:hAnsiTheme="minorHAnsi" w:cstheme="minorHAnsi"/>
        </w:rPr>
        <w:t xml:space="preserve"> = valor destinado a essa categoria de divisão.</w:t>
      </w:r>
    </w:p>
    <w:p>
      <w:pPr>
        <w:ind w:left="1134" w:hanging="283"/>
        <w:rPr>
          <w:rFonts w:asciiTheme="minorHAnsi" w:hAnsiTheme="minorHAnsi" w:cstheme="minorHAnsi"/>
        </w:rPr>
      </w:pPr>
    </w:p>
    <w:p>
      <w:pPr>
        <w:spacing w:before="120" w:after="240" w:line="17" w:lineRule="atLeast"/>
        <w:ind w:left="850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b.5) O valor de total de cada </w:t>
      </w:r>
      <m:oMath>
        <m:r>
          <m:rPr/>
          <w:rPr>
            <w:rFonts w:ascii="Cambria Math" w:hAnsi="Cambria Math" w:cstheme="minorHAnsi"/>
          </w:rPr>
          <m:t>I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/>
              <w:rPr>
                <w:rFonts w:ascii="Cambria Math" w:hAnsi="Cambria Math" w:cstheme="minorHAnsi"/>
              </w:rPr>
              <m:t>EES</m:t>
            </m:r>
            <m:ctrlPr>
              <w:rPr>
                <w:rFonts w:ascii="Cambria Math" w:hAnsi="Cambria Math" w:cstheme="minorHAnsi"/>
              </w:rPr>
            </m:ctrlPr>
          </m:e>
          <m:sup>
            <m:r>
              <m:rPr/>
              <w:rPr>
                <w:rFonts w:ascii="Cambria Math" w:hAnsi="Cambria Math" w:cstheme="minorHAnsi"/>
              </w:rPr>
              <m:t>j</m:t>
            </m:r>
            <m:ctrlPr>
              <w:rPr>
                <w:rFonts w:ascii="Cambria Math" w:hAnsi="Cambria Math" w:cstheme="minorHAnsi"/>
              </w:rPr>
            </m:ctrlPr>
          </m:sup>
        </m:sSup>
      </m:oMath>
      <w:r>
        <w:rPr>
          <w:rFonts w:asciiTheme="minorHAnsi" w:hAnsiTheme="minorHAnsi" w:cstheme="minorHAnsi"/>
        </w:rPr>
        <w:t xml:space="preserve"> será obtido pela seguinte expressão:</w:t>
      </w:r>
    </w:p>
    <w:p>
      <w:pPr>
        <w:spacing w:before="240" w:after="240" w:line="360" w:lineRule="auto"/>
        <w:ind w:left="2268"/>
        <w:contextualSpacing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m:rPr/>
                <w:rPr>
                  <w:rFonts w:ascii="Cambria Math" w:hAnsi="Cambria Math" w:cstheme="minorHAnsi"/>
                </w:rPr>
                <m:t>VTAE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m:rPr/>
                <w:rPr>
                  <w:rFonts w:ascii="Cambria Math" w:hAnsi="Cambria Math" w:cstheme="minorHAnsi"/>
                </w:rPr>
                <m:t>j</m:t>
              </m:r>
              <m:ctrlPr>
                <w:rPr>
                  <w:rFonts w:ascii="Cambria Math" w:hAnsi="Cambria Math" w:cstheme="minorHAnsi"/>
                  <w:i/>
                </w:rPr>
              </m:ctrlPr>
            </m:sup>
          </m:sSup>
          <m:r>
            <m:rPr/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m:rPr/>
                <w:rPr>
                  <w:rFonts w:ascii="Cambria Math" w:hAnsi="Cambria Math" w:cstheme="minorHAnsi"/>
                </w:rPr>
                <m:t>TAEPG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m:rPr/>
                <w:rPr>
                  <w:rFonts w:ascii="Cambria Math" w:hAnsi="Cambria Math" w:cstheme="minorHAnsi"/>
                </w:rPr>
                <m:t>j</m:t>
              </m:r>
              <m:ctrlPr>
                <w:rPr>
                  <w:rFonts w:ascii="Cambria Math" w:hAnsi="Cambria Math" w:cstheme="minorHAnsi"/>
                  <w:i/>
                </w:rPr>
              </m:ctrlPr>
            </m:sup>
          </m:sSup>
          <m:r>
            <m:rPr/>
            <w:rPr>
              <w:rFonts w:ascii="Cambria Math" w:hAnsi="Cambria Math" w:cstheme="minorHAnsi"/>
            </w:rPr>
            <m:t>×VAEPG</m:t>
          </m:r>
        </m:oMath>
      </m:oMathPara>
    </w:p>
    <w:p>
      <w:pPr>
        <w:rPr>
          <w:rFonts w:asciiTheme="minorHAnsi" w:hAnsiTheme="minorHAnsi" w:cstheme="minorHAnsi"/>
        </w:rPr>
      </w:pPr>
    </w:p>
    <w:p>
      <w:pPr>
        <w:spacing w:line="17" w:lineRule="atLeast"/>
        <w:ind w:left="851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b.6) Tabela de peso para a área de conhecimento do programa:</w:t>
      </w:r>
    </w:p>
    <w:tbl>
      <w:tblPr>
        <w:tblStyle w:val="4"/>
        <w:tblW w:w="4752" w:type="pct"/>
        <w:tblInd w:w="421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87"/>
        <w:gridCol w:w="4903"/>
        <w:gridCol w:w="172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pt-BR"/>
              </w:rPr>
              <w:t>GRUPO</w:t>
            </w:r>
          </w:p>
        </w:tc>
        <w:tc>
          <w:tcPr>
            <w:tcW w:w="2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pt-BR"/>
              </w:rPr>
              <w:t>ÁREA DE CONHECIMENTO</w:t>
            </w:r>
          </w:p>
        </w:tc>
        <w:tc>
          <w:tcPr>
            <w:tcW w:w="1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PAC</m:t>
                    </m: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i</m:t>
                    </m: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ub>
                </m:sSub>
              </m:oMath>
            </m:oMathPara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G1</w:t>
            </w:r>
          </w:p>
        </w:tc>
        <w:tc>
          <w:tcPr>
            <w:tcW w:w="2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Ciências Agrárias</w:t>
            </w:r>
          </w:p>
        </w:tc>
        <w:tc>
          <w:tcPr>
            <w:tcW w:w="105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1,4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2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Ciências Biológicas</w:t>
            </w:r>
          </w:p>
        </w:tc>
        <w:tc>
          <w:tcPr>
            <w:tcW w:w="105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2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Ciências da Saúde</w:t>
            </w:r>
          </w:p>
        </w:tc>
        <w:tc>
          <w:tcPr>
            <w:tcW w:w="105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2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Ciências Exatas e da Terra</w:t>
            </w:r>
          </w:p>
        </w:tc>
        <w:tc>
          <w:tcPr>
            <w:tcW w:w="105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2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Engenharias</w:t>
            </w:r>
          </w:p>
        </w:tc>
        <w:tc>
          <w:tcPr>
            <w:tcW w:w="105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2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Multidisciplinar - Biotecnologia, Ciências Ambientais, Materiais e Interdisciplinar (*)</w:t>
            </w:r>
          </w:p>
        </w:tc>
        <w:tc>
          <w:tcPr>
            <w:tcW w:w="105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G2</w:t>
            </w:r>
          </w:p>
        </w:tc>
        <w:tc>
          <w:tcPr>
            <w:tcW w:w="2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Ciências Humanas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1,0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2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Ciências Sociais Aplicadas</w:t>
            </w:r>
          </w:p>
        </w:tc>
        <w:tc>
          <w:tcPr>
            <w:tcW w:w="105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2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Linguística, Letras e Artes</w:t>
            </w:r>
          </w:p>
        </w:tc>
        <w:tc>
          <w:tcPr>
            <w:tcW w:w="105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9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2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Multidisciplinar – Ensino e Interdisciplinar (**)</w:t>
            </w:r>
          </w:p>
        </w:tc>
        <w:tc>
          <w:tcPr>
            <w:tcW w:w="105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</w:tr>
    </w:tbl>
    <w:p>
      <w:pPr>
        <w:spacing w:after="0" w:line="240" w:lineRule="auto"/>
        <w:ind w:left="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*Interdisciplinar G1: Meio Ambiente e Agrárias; Engenharia/Tecnologia/Gestão; Saúde e Biológicas.</w:t>
      </w:r>
    </w:p>
    <w:p>
      <w:pPr>
        <w:spacing w:after="0" w:line="240" w:lineRule="auto"/>
        <w:ind w:left="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**Interdisciplinar G2: Sociais e Humanidades.</w:t>
      </w:r>
    </w:p>
    <w:p>
      <w:pPr>
        <w:tabs>
          <w:tab w:val="clear" w:pos="284"/>
        </w:tabs>
        <w:suppressAutoHyphens w:val="0"/>
        <w:spacing w:before="0" w:after="200" w:line="276" w:lineRule="auto"/>
        <w:jc w:val="left"/>
        <w:rPr>
          <w:rFonts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Chamada Pública 03/2021 </w:t>
      </w: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Programa Institucional  Pró-Desenvolvimento dos PPGs das IES Estaduais  </w:t>
      </w:r>
    </w:p>
    <w:p/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Anexo II - Roteiro Descritivo da Proposta</w:t>
      </w:r>
    </w:p>
    <w:p>
      <w:pPr>
        <w:jc w:val="left"/>
      </w:pPr>
    </w:p>
    <w:p>
      <w:pPr>
        <w:pStyle w:val="9"/>
      </w:pPr>
      <w:r>
        <w:t>1. DADOS DA PROPOSTA</w:t>
      </w:r>
    </w:p>
    <w:tbl>
      <w:tblPr>
        <w:tblStyle w:val="4"/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475"/>
        <w:gridCol w:w="7143"/>
      </w:tblGrid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left"/>
            </w:pPr>
            <w:r>
              <w:rPr>
                <w:b/>
                <w:i/>
                <w:sz w:val="20"/>
                <w:szCs w:val="20"/>
              </w:rPr>
              <w:t>Instituição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Nome: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left"/>
            </w:pPr>
            <w:r>
              <w:rPr>
                <w:b/>
                <w:i/>
                <w:sz w:val="20"/>
                <w:szCs w:val="20"/>
              </w:rPr>
              <w:t>Coordenador (a) da Proposta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Nome: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Telefones:                                                           E-mail:</w:t>
            </w:r>
          </w:p>
        </w:tc>
      </w:tr>
    </w:tbl>
    <w:p>
      <w:pPr>
        <w:jc w:val="left"/>
      </w:pPr>
    </w:p>
    <w:p>
      <w:pPr>
        <w:pStyle w:val="19"/>
        <w:spacing w:before="60" w:after="60" w:line="216" w:lineRule="auto"/>
        <w:rPr>
          <w:rFonts w:cs="Arial"/>
          <w:caps/>
          <w:lang w:eastAsia="en-US"/>
        </w:rPr>
      </w:pPr>
      <w:r>
        <w:rPr>
          <w:rFonts w:cs="Arial"/>
          <w:caps/>
          <w:lang w:eastAsia="en-US"/>
        </w:rPr>
        <w:t xml:space="preserve">2. SÍNTESE DO PROJETO </w:t>
      </w:r>
    </w:p>
    <w:tbl>
      <w:tblPr>
        <w:tblStyle w:val="4"/>
        <w:tblW w:w="4943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60" w:after="60" w:line="216" w:lineRule="auto"/>
              <w:rPr>
                <w:i/>
                <w:lang w:eastAsia="pt-BR"/>
              </w:rPr>
            </w:pPr>
            <w:r>
              <w:rPr>
                <w:i/>
                <w:color w:val="000000"/>
                <w:lang w:eastAsia="pt-BR"/>
              </w:rPr>
              <w:t>Apresentar síntese do projeto sumarizando a importância, e principalmente, os resultados esperados.</w:t>
            </w:r>
          </w:p>
          <w:p>
            <w:pPr>
              <w:spacing w:before="60" w:after="60" w:line="216" w:lineRule="auto"/>
            </w:pPr>
          </w:p>
          <w:p>
            <w:pPr>
              <w:spacing w:before="60" w:after="60" w:line="216" w:lineRule="auto"/>
            </w:pPr>
          </w:p>
          <w:p>
            <w:pPr>
              <w:spacing w:before="60" w:after="60" w:line="216" w:lineRule="auto"/>
            </w:pPr>
          </w:p>
          <w:p>
            <w:pPr>
              <w:spacing w:before="60" w:after="60" w:line="216" w:lineRule="auto"/>
            </w:pPr>
          </w:p>
          <w:p>
            <w:pPr>
              <w:spacing w:before="60" w:after="60" w:line="216" w:lineRule="auto"/>
            </w:pPr>
          </w:p>
          <w:p>
            <w:pPr>
              <w:spacing w:before="60" w:after="60" w:line="216" w:lineRule="auto"/>
            </w:pPr>
          </w:p>
        </w:tc>
      </w:tr>
    </w:tbl>
    <w:p>
      <w:pPr>
        <w:pStyle w:val="5"/>
      </w:pPr>
    </w:p>
    <w:p>
      <w:pPr>
        <w:pStyle w:val="21"/>
        <w:spacing w:before="60" w:after="60" w:line="21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3.TERMO DE COMPROMISSO</w:t>
      </w:r>
    </w:p>
    <w:tbl>
      <w:tblPr>
        <w:tblStyle w:val="4"/>
        <w:tblW w:w="5000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82"/>
        <w:gridCol w:w="2498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right"/>
        </w:trPr>
        <w:tc>
          <w:tcPr>
            <w:tcW w:w="2013" w:type="dxa"/>
            <w:shd w:val="clear" w:color="auto" w:fill="DEEAF6"/>
            <w:vAlign w:val="center"/>
          </w:tcPr>
          <w:p>
            <w:pPr>
              <w:pStyle w:val="1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</w:rPr>
              <w:t>Local e data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681" w:type="dxa"/>
            <w:gridSpan w:val="2"/>
            <w:shd w:val="clear" w:color="auto" w:fill="auto"/>
            <w:vAlign w:val="center"/>
          </w:tcPr>
          <w:p>
            <w:pPr>
              <w:pStyle w:val="18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29" w:hRule="atLeast"/>
          <w:jc w:val="right"/>
        </w:trPr>
        <w:tc>
          <w:tcPr>
            <w:tcW w:w="4847" w:type="dxa"/>
            <w:gridSpan w:val="2"/>
            <w:shd w:val="clear" w:color="auto" w:fill="auto"/>
          </w:tcPr>
          <w:p>
            <w:pPr>
              <w:pStyle w:val="18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Declaro expressamente conhecer e concordar, para 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 xml:space="preserve">todos os efeitos legais, com as normas gerais de 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>concessão de auxilio pela Fundação Araucária.</w:t>
            </w:r>
          </w:p>
          <w:p>
            <w:pPr>
              <w:pStyle w:val="18"/>
              <w:jc w:val="center"/>
              <w:rPr>
                <w:rFonts w:cs="Arial"/>
                <w:i/>
              </w:rPr>
            </w:pPr>
          </w:p>
          <w:p>
            <w:pPr>
              <w:pStyle w:val="18"/>
              <w:jc w:val="center"/>
              <w:rPr>
                <w:rFonts w:cs="Arial"/>
                <w:i/>
              </w:rPr>
            </w:pPr>
          </w:p>
          <w:p>
            <w:pPr>
              <w:pStyle w:val="18"/>
              <w:jc w:val="center"/>
              <w:rPr>
                <w:rFonts w:cs="Arial"/>
                <w:i/>
              </w:rPr>
            </w:pPr>
          </w:p>
          <w:p>
            <w:pPr>
              <w:pStyle w:val="18"/>
              <w:jc w:val="center"/>
              <w:rPr>
                <w:rFonts w:cs="Arial"/>
                <w:i/>
              </w:rPr>
            </w:pPr>
          </w:p>
        </w:tc>
        <w:tc>
          <w:tcPr>
            <w:tcW w:w="4847" w:type="dxa"/>
            <w:shd w:val="clear" w:color="auto" w:fill="auto"/>
          </w:tcPr>
          <w:p>
            <w:pPr>
              <w:pStyle w:val="18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Declaro que a presente proposta está de acordo 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 xml:space="preserve">com os objetivos científicos e tecnológicos 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>desta Instituição.</w:t>
            </w:r>
          </w:p>
          <w:p>
            <w:pPr>
              <w:pStyle w:val="18"/>
              <w:jc w:val="center"/>
              <w:rPr>
                <w:rFonts w:cs="Arial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2" w:hRule="atLeast"/>
          <w:jc w:val="right"/>
        </w:trPr>
        <w:tc>
          <w:tcPr>
            <w:tcW w:w="4847" w:type="dxa"/>
            <w:gridSpan w:val="2"/>
            <w:shd w:val="clear" w:color="auto" w:fill="DEEAF6"/>
          </w:tcPr>
          <w:p>
            <w:pPr>
              <w:pStyle w:val="18"/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i/>
              </w:rPr>
              <w:t>Coordenador (a) da proposta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>(Nome e assinatura)</w:t>
            </w:r>
          </w:p>
        </w:tc>
        <w:tc>
          <w:tcPr>
            <w:tcW w:w="4847" w:type="dxa"/>
            <w:shd w:val="clear" w:color="auto" w:fill="DEEAF6"/>
          </w:tcPr>
          <w:p>
            <w:pPr>
              <w:pStyle w:val="18"/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i/>
              </w:rPr>
              <w:t>Responsável pela instituição ou representante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>(Nome, assinatura e carimbo)</w:t>
            </w:r>
          </w:p>
        </w:tc>
      </w:tr>
    </w:tbl>
    <w:p/>
    <w:p/>
    <w:p>
      <w:pPr>
        <w:jc w:val="right"/>
      </w:pPr>
      <w:r>
        <w:t>________________________, ______ de __________________ de 2021</w:t>
      </w:r>
    </w:p>
    <w:p>
      <w:pPr>
        <w:jc w:val="center"/>
      </w:pPr>
    </w:p>
    <w:p/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nQuanYi Micro 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i/>
        <w:color w:val="0070C0"/>
        <w:sz w:val="20"/>
        <w:szCs w:val="20"/>
      </w:rPr>
      <w:t>www.FapPR.pr.gov.br</w: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3766185</wp:posOffset>
          </wp:positionH>
          <wp:positionV relativeFrom="margin">
            <wp:posOffset>-958850</wp:posOffset>
          </wp:positionV>
          <wp:extent cx="1649730" cy="641350"/>
          <wp:effectExtent l="19050" t="0" r="7694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21" r="-8" b="-21"/>
                  <a:stretch>
                    <a:fillRect/>
                  </a:stretch>
                </pic:blipFill>
                <pic:spPr>
                  <a:xfrm>
                    <a:off x="0" y="0"/>
                    <a:ext cx="1653024" cy="64257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inline distT="0" distB="0" distL="0" distR="0">
          <wp:extent cx="1763395" cy="920115"/>
          <wp:effectExtent l="19050" t="0" r="8019" b="0"/>
          <wp:docPr id="2" name="Imagem 1" descr="C:\Users\Felix\AppData\Local\Temp\Rar$DI23.184\superintendencia geral de ciencia tec e ens supeiror - 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Users\Felix\AppData\Local\Temp\Rar$DI23.184\superintendencia geral de ciencia tec e ens supeiror - horiz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979" cy="919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E04A2"/>
    <w:multiLevelType w:val="multilevel"/>
    <w:tmpl w:val="28DE04A2"/>
    <w:lvl w:ilvl="0" w:tentative="0">
      <w:start w:val="1"/>
      <w:numFmt w:val="lowerLetter"/>
      <w:lvlText w:val="%1)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0647DA6"/>
    <w:multiLevelType w:val="multilevel"/>
    <w:tmpl w:val="40647D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55"/>
    <w:rsid w:val="0000408E"/>
    <w:rsid w:val="000621FC"/>
    <w:rsid w:val="0007152A"/>
    <w:rsid w:val="000B6958"/>
    <w:rsid w:val="000D2244"/>
    <w:rsid w:val="000F2C5E"/>
    <w:rsid w:val="001866DA"/>
    <w:rsid w:val="001B3EEC"/>
    <w:rsid w:val="001C22C4"/>
    <w:rsid w:val="001F4BD4"/>
    <w:rsid w:val="00232C9A"/>
    <w:rsid w:val="00263F53"/>
    <w:rsid w:val="002A0816"/>
    <w:rsid w:val="002A42A5"/>
    <w:rsid w:val="002F3B6A"/>
    <w:rsid w:val="003426C8"/>
    <w:rsid w:val="00343969"/>
    <w:rsid w:val="00376405"/>
    <w:rsid w:val="003769C4"/>
    <w:rsid w:val="003C5B13"/>
    <w:rsid w:val="00406470"/>
    <w:rsid w:val="00415465"/>
    <w:rsid w:val="00436670"/>
    <w:rsid w:val="0045769B"/>
    <w:rsid w:val="00472A42"/>
    <w:rsid w:val="004759B1"/>
    <w:rsid w:val="004E7241"/>
    <w:rsid w:val="005346CE"/>
    <w:rsid w:val="005635E3"/>
    <w:rsid w:val="00576610"/>
    <w:rsid w:val="005C5255"/>
    <w:rsid w:val="005F7F34"/>
    <w:rsid w:val="006046F2"/>
    <w:rsid w:val="006158D6"/>
    <w:rsid w:val="00680499"/>
    <w:rsid w:val="00683C98"/>
    <w:rsid w:val="006D1252"/>
    <w:rsid w:val="00792113"/>
    <w:rsid w:val="00792209"/>
    <w:rsid w:val="007B1663"/>
    <w:rsid w:val="0086410A"/>
    <w:rsid w:val="008673E6"/>
    <w:rsid w:val="008C2E37"/>
    <w:rsid w:val="008C497F"/>
    <w:rsid w:val="00907EDB"/>
    <w:rsid w:val="00920633"/>
    <w:rsid w:val="00930560"/>
    <w:rsid w:val="00934CFD"/>
    <w:rsid w:val="009375EC"/>
    <w:rsid w:val="009558C3"/>
    <w:rsid w:val="00955DA7"/>
    <w:rsid w:val="009E13B6"/>
    <w:rsid w:val="00A17452"/>
    <w:rsid w:val="00A34839"/>
    <w:rsid w:val="00A440B3"/>
    <w:rsid w:val="00A765F3"/>
    <w:rsid w:val="00AD15F3"/>
    <w:rsid w:val="00B07879"/>
    <w:rsid w:val="00B113FE"/>
    <w:rsid w:val="00B23772"/>
    <w:rsid w:val="00B44F84"/>
    <w:rsid w:val="00B83A1C"/>
    <w:rsid w:val="00B91C02"/>
    <w:rsid w:val="00BF4032"/>
    <w:rsid w:val="00BF6647"/>
    <w:rsid w:val="00C042A2"/>
    <w:rsid w:val="00C10DD5"/>
    <w:rsid w:val="00C436B6"/>
    <w:rsid w:val="00C45FCE"/>
    <w:rsid w:val="00C566BA"/>
    <w:rsid w:val="00C77CA0"/>
    <w:rsid w:val="00CA4922"/>
    <w:rsid w:val="00CD211C"/>
    <w:rsid w:val="00CD4867"/>
    <w:rsid w:val="00CE3599"/>
    <w:rsid w:val="00D24AD6"/>
    <w:rsid w:val="00D517C4"/>
    <w:rsid w:val="00DA01EE"/>
    <w:rsid w:val="00DC6C6C"/>
    <w:rsid w:val="00DD7335"/>
    <w:rsid w:val="00DF094B"/>
    <w:rsid w:val="00E633AE"/>
    <w:rsid w:val="00EA4C5E"/>
    <w:rsid w:val="00EC3659"/>
    <w:rsid w:val="00EF30BD"/>
    <w:rsid w:val="00F25E2A"/>
    <w:rsid w:val="00F6725F"/>
    <w:rsid w:val="00F87FDA"/>
    <w:rsid w:val="00FB4B67"/>
    <w:rsid w:val="00FD4C52"/>
    <w:rsid w:val="00FF2895"/>
    <w:rsid w:val="00FF3589"/>
    <w:rsid w:val="011905D6"/>
    <w:rsid w:val="28F13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tabs>
        <w:tab w:val="left" w:pos="284"/>
      </w:tabs>
      <w:suppressAutoHyphens/>
      <w:spacing w:before="80" w:after="80" w:line="220" w:lineRule="exact"/>
      <w:jc w:val="both"/>
    </w:pPr>
    <w:rPr>
      <w:rFonts w:ascii="Calibri" w:hAnsi="Calibri" w:eastAsia="Calibri" w:cs="Arial"/>
      <w:spacing w:val="-2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tabs>
        <w:tab w:val="left" w:pos="0"/>
        <w:tab w:val="clear" w:pos="284"/>
      </w:tabs>
      <w:spacing w:line="240" w:lineRule="auto"/>
      <w:ind w:left="431" w:hanging="431"/>
      <w:jc w:val="center"/>
      <w:outlineLvl w:val="0"/>
    </w:pPr>
    <w:rPr>
      <w:rFonts w:cs="Times New Roman"/>
      <w:b/>
      <w:bCs/>
      <w:color w:val="000000"/>
      <w:sz w:val="36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uiPriority w:val="0"/>
    <w:rPr>
      <w:sz w:val="24"/>
      <w:szCs w:val="24"/>
    </w:rPr>
  </w:style>
  <w:style w:type="paragraph" w:styleId="6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Subtitle"/>
    <w:basedOn w:val="1"/>
    <w:next w:val="5"/>
    <w:link w:val="15"/>
    <w:qFormat/>
    <w:uiPriority w:val="0"/>
    <w:pPr>
      <w:keepNext/>
      <w:widowControl w:val="0"/>
      <w:tabs>
        <w:tab w:val="left" w:pos="709"/>
        <w:tab w:val="clear" w:pos="284"/>
      </w:tabs>
      <w:spacing w:before="140"/>
      <w:jc w:val="left"/>
    </w:pPr>
    <w:rPr>
      <w:rFonts w:eastAsia="WenQuanYi Micro Hei" w:cs="Arial Narrow"/>
      <w:b/>
      <w:bCs/>
      <w:color w:val="0070C0"/>
      <w:kern w:val="2"/>
      <w:sz w:val="24"/>
    </w:rPr>
  </w:style>
  <w:style w:type="character" w:customStyle="1" w:styleId="10">
    <w:name w:val="Texto de balão Char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3"/>
    <w:link w:val="6"/>
    <w:qFormat/>
    <w:uiPriority w:val="99"/>
  </w:style>
  <w:style w:type="character" w:customStyle="1" w:styleId="12">
    <w:name w:val="Rodapé Char"/>
    <w:basedOn w:val="3"/>
    <w:link w:val="7"/>
    <w:semiHidden/>
    <w:uiPriority w:val="99"/>
  </w:style>
  <w:style w:type="character" w:customStyle="1" w:styleId="13">
    <w:name w:val="Título 1 Char"/>
    <w:basedOn w:val="3"/>
    <w:link w:val="2"/>
    <w:uiPriority w:val="0"/>
    <w:rPr>
      <w:rFonts w:ascii="Calibri" w:hAnsi="Calibri" w:eastAsia="Calibri" w:cs="Times New Roman"/>
      <w:b/>
      <w:bCs/>
      <w:color w:val="000000"/>
      <w:spacing w:val="-2"/>
      <w:sz w:val="36"/>
      <w:szCs w:val="24"/>
      <w:lang w:eastAsia="zh-CN"/>
    </w:rPr>
  </w:style>
  <w:style w:type="character" w:customStyle="1" w:styleId="14">
    <w:name w:val="Corpo de texto Char"/>
    <w:basedOn w:val="3"/>
    <w:link w:val="5"/>
    <w:uiPriority w:val="0"/>
    <w:rPr>
      <w:rFonts w:ascii="Calibri" w:hAnsi="Calibri" w:eastAsia="Calibri" w:cs="Arial"/>
      <w:spacing w:val="-2"/>
      <w:sz w:val="24"/>
      <w:szCs w:val="24"/>
      <w:lang w:eastAsia="zh-CN"/>
    </w:rPr>
  </w:style>
  <w:style w:type="character" w:customStyle="1" w:styleId="15">
    <w:name w:val="Subtítulo Char"/>
    <w:basedOn w:val="3"/>
    <w:link w:val="9"/>
    <w:qFormat/>
    <w:uiPriority w:val="0"/>
    <w:rPr>
      <w:rFonts w:ascii="Calibri" w:hAnsi="Calibri" w:eastAsia="WenQuanYi Micro Hei" w:cs="Arial Narrow"/>
      <w:b/>
      <w:bCs/>
      <w:color w:val="0070C0"/>
      <w:spacing w:val="-2"/>
      <w:kern w:val="2"/>
      <w:sz w:val="24"/>
      <w:lang w:eastAsia="zh-CN"/>
    </w:rPr>
  </w:style>
  <w:style w:type="paragraph" w:styleId="16">
    <w:name w:val="List Paragraph"/>
    <w:basedOn w:val="1"/>
    <w:qFormat/>
    <w:uiPriority w:val="34"/>
    <w:pPr>
      <w:widowControl w:val="0"/>
      <w:tabs>
        <w:tab w:val="left" w:pos="709"/>
        <w:tab w:val="clear" w:pos="284"/>
      </w:tabs>
      <w:spacing w:before="40" w:after="200" w:line="276" w:lineRule="auto"/>
      <w:ind w:left="720"/>
    </w:pPr>
    <w:rPr>
      <w:rFonts w:ascii="Arial Narrow" w:hAnsi="Arial Narrow" w:eastAsia="WenQuanYi Micro Hei" w:cs="Times New Roman"/>
      <w:spacing w:val="-4"/>
      <w:kern w:val="2"/>
      <w:sz w:val="20"/>
    </w:rPr>
  </w:style>
  <w:style w:type="character" w:customStyle="1" w:styleId="17">
    <w:name w:val="03_texto Char"/>
    <w:link w:val="18"/>
    <w:locked/>
    <w:uiPriority w:val="0"/>
    <w:rPr>
      <w:rFonts w:ascii="Arial Narrow" w:hAnsi="Arial Narrow" w:cs="Arial Narrow"/>
      <w:color w:val="000000"/>
      <w:spacing w:val="-4"/>
    </w:rPr>
  </w:style>
  <w:style w:type="paragraph" w:customStyle="1" w:styleId="18">
    <w:name w:val="03_texto"/>
    <w:basedOn w:val="1"/>
    <w:link w:val="17"/>
    <w:qFormat/>
    <w:uiPriority w:val="0"/>
    <w:pPr>
      <w:tabs>
        <w:tab w:val="clear" w:pos="284"/>
      </w:tabs>
      <w:spacing w:before="60" w:after="60" w:line="204" w:lineRule="auto"/>
    </w:pPr>
    <w:rPr>
      <w:rFonts w:ascii="Arial Narrow" w:hAnsi="Arial Narrow" w:cs="Arial Narrow" w:eastAsiaTheme="minorHAnsi"/>
      <w:color w:val="000000"/>
      <w:spacing w:val="-4"/>
      <w:lang w:eastAsia="en-US"/>
    </w:rPr>
  </w:style>
  <w:style w:type="paragraph" w:customStyle="1" w:styleId="19">
    <w:name w:val="A_topico"/>
    <w:basedOn w:val="1"/>
    <w:qFormat/>
    <w:uiPriority w:val="0"/>
    <w:pPr>
      <w:tabs>
        <w:tab w:val="left" w:pos="709"/>
        <w:tab w:val="clear" w:pos="284"/>
      </w:tabs>
      <w:spacing w:before="40" w:after="40" w:line="204" w:lineRule="auto"/>
      <w:textAlignment w:val="baseline"/>
    </w:pPr>
    <w:rPr>
      <w:rFonts w:ascii="Arial Narrow" w:hAnsi="Arial Narrow" w:eastAsia="WenQuanYi Micro Hei" w:cs="Times New Roman"/>
      <w:b/>
      <w:bCs/>
      <w:color w:val="0070C0"/>
      <w:spacing w:val="-4"/>
      <w:lang w:eastAsia="pt-BR"/>
    </w:rPr>
  </w:style>
  <w:style w:type="character" w:customStyle="1" w:styleId="20">
    <w:name w:val="02_topico Char"/>
    <w:link w:val="21"/>
    <w:locked/>
    <w:uiPriority w:val="0"/>
    <w:rPr>
      <w:rFonts w:ascii="Arial Narrow" w:hAnsi="Arial Narrow" w:cs="Arial Narrow"/>
      <w:b/>
      <w:bCs/>
      <w:caps/>
      <w:color w:val="0070C0"/>
      <w:spacing w:val="-4"/>
    </w:rPr>
  </w:style>
  <w:style w:type="paragraph" w:customStyle="1" w:styleId="21">
    <w:name w:val="02_topico"/>
    <w:basedOn w:val="1"/>
    <w:link w:val="20"/>
    <w:qFormat/>
    <w:uiPriority w:val="0"/>
    <w:pPr>
      <w:tabs>
        <w:tab w:val="clear" w:pos="284"/>
      </w:tabs>
      <w:spacing w:before="40" w:after="100" w:line="240" w:lineRule="auto"/>
    </w:pPr>
    <w:rPr>
      <w:rFonts w:ascii="Arial Narrow" w:hAnsi="Arial Narrow" w:cs="Arial Narrow" w:eastAsiaTheme="minorHAnsi"/>
      <w:b/>
      <w:bCs/>
      <w:caps/>
      <w:color w:val="0070C0"/>
      <w:spacing w:val="-4"/>
      <w:lang w:eastAsia="en-US"/>
    </w:rPr>
  </w:style>
  <w:style w:type="character" w:styleId="22">
    <w:name w:val="Placeholder Text"/>
    <w:basedOn w:val="3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2791</Words>
  <Characters>15110</Characters>
  <Lines>126</Lines>
  <Paragraphs>35</Paragraphs>
  <TotalTime>9</TotalTime>
  <ScaleCrop>false</ScaleCrop>
  <LinksUpToDate>false</LinksUpToDate>
  <CharactersWithSpaces>17644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2021-03-17T13:45:00Z</dcterms:created>
  <dc:creator>Felix</dc:creator>
  <cp:lastModifiedBy>Vanessa</cp:lastModifiedBy>
  <cp:lastPrinted>2021-03-16T18:46:00Z</cp:lastPrinted>
  <dcterms:modified xsi:type="dcterms:W3CDTF">2021-03-19T12:01:49Z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